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721BF">
      <w:pPr>
        <w:keepNext w:val="0"/>
        <w:keepLines w:val="0"/>
        <w:pageBreakBefore w:val="0"/>
        <w:widowControl w:val="0"/>
        <w:kinsoku/>
        <w:wordWrap/>
        <w:overflowPunct/>
        <w:topLinePunct w:val="0"/>
        <w:autoSpaceDE/>
        <w:autoSpaceDN/>
        <w:bidi w:val="0"/>
        <w:adjustRightInd/>
        <w:snapToGrid/>
        <w:spacing w:after="0" w:line="560" w:lineRule="exact"/>
        <w:jc w:val="left"/>
        <w:rPr>
          <w:rFonts w:hint="default" w:ascii="楷体" w:hAnsi="楷体" w:eastAsia="楷体" w:cs="楷体"/>
          <w:b w:val="0"/>
          <w:bCs/>
          <w:color w:val="000000"/>
          <w:sz w:val="32"/>
          <w:szCs w:val="32"/>
          <w:lang w:val="en-US" w:eastAsia="zh-CN"/>
        </w:rPr>
      </w:pPr>
    </w:p>
    <w:p w14:paraId="57000613">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bCs/>
          <w:color w:val="000000"/>
          <w:sz w:val="44"/>
          <w:szCs w:val="44"/>
        </w:rPr>
      </w:pPr>
    </w:p>
    <w:p w14:paraId="02E0F715">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吉林省人参产业条例（修订草案</w:t>
      </w:r>
      <w:r>
        <w:rPr>
          <w:rFonts w:hint="eastAsia" w:ascii="方正小标宋简体" w:hAnsi="方正小标宋简体" w:eastAsia="方正小标宋简体" w:cs="方正小标宋简体"/>
          <w:bCs/>
          <w:color w:val="000000"/>
          <w:sz w:val="44"/>
          <w:szCs w:val="44"/>
          <w:lang w:eastAsia="zh-CN"/>
        </w:rPr>
        <w:t>修改稿</w:t>
      </w:r>
      <w:r>
        <w:rPr>
          <w:rFonts w:hint="eastAsia" w:ascii="方正小标宋简体" w:hAnsi="方正小标宋简体" w:eastAsia="方正小标宋简体" w:cs="方正小标宋简体"/>
          <w:bCs/>
          <w:color w:val="000000"/>
          <w:sz w:val="44"/>
          <w:szCs w:val="44"/>
        </w:rPr>
        <w:t>）</w:t>
      </w:r>
    </w:p>
    <w:p w14:paraId="08A55F96">
      <w:pPr>
        <w:pStyle w:val="2"/>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14:paraId="1DC3E7CA">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p>
    <w:p w14:paraId="7EAD6CDB">
      <w:pPr>
        <w:pStyle w:val="2"/>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14:paraId="13145D18">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第一章  总则</w:t>
      </w:r>
    </w:p>
    <w:p w14:paraId="0B3E55D2">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第二章  产业规划</w:t>
      </w:r>
    </w:p>
    <w:p w14:paraId="07990B58">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第三章  种植管理</w:t>
      </w:r>
    </w:p>
    <w:p w14:paraId="390D3ACF">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第四章  加工和经营</w:t>
      </w:r>
    </w:p>
    <w:p w14:paraId="1E4F82F9">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质量管理</w:t>
      </w:r>
    </w:p>
    <w:p w14:paraId="726B271D">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产业扶持</w:t>
      </w:r>
    </w:p>
    <w:p w14:paraId="795698A0">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法律责任</w:t>
      </w:r>
    </w:p>
    <w:p w14:paraId="6A3F64B2">
      <w:pPr>
        <w:keepNext w:val="0"/>
        <w:keepLines w:val="0"/>
        <w:pageBreakBefore w:val="0"/>
        <w:widowControl w:val="0"/>
        <w:kinsoku/>
        <w:wordWrap/>
        <w:overflowPunct/>
        <w:topLinePunct w:val="0"/>
        <w:autoSpaceDE/>
        <w:autoSpaceDN/>
        <w:bidi w:val="0"/>
        <w:adjustRightInd/>
        <w:snapToGrid/>
        <w:spacing w:after="0" w:line="240" w:lineRule="auto"/>
        <w:ind w:leftChars="15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第八章  附则</w:t>
      </w:r>
    </w:p>
    <w:p w14:paraId="3C09BEBC">
      <w:pPr>
        <w:rPr>
          <w:rFonts w:hint="default"/>
          <w:lang w:val="en-US" w:eastAsia="zh-CN"/>
        </w:rPr>
      </w:pPr>
    </w:p>
    <w:p w14:paraId="2B23745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第一章 总  则</w:t>
      </w:r>
    </w:p>
    <w:p w14:paraId="4C07100D">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第一条 </w:t>
      </w:r>
      <w:r>
        <w:rPr>
          <w:rFonts w:hint="eastAsia" w:ascii="仿宋_GB2312" w:hAnsi="仿宋_GB2312" w:eastAsia="仿宋_GB2312" w:cs="仿宋_GB2312"/>
          <w:color w:val="000000"/>
          <w:sz w:val="32"/>
          <w:szCs w:val="32"/>
        </w:rPr>
        <w:t>为了保护和合理利用人参资源，促进人参产业高质量发展，根据国家有关法律、行政法规，结合本省实际，制定本条例。</w:t>
      </w:r>
    </w:p>
    <w:p w14:paraId="70D7FC23">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第二条 </w:t>
      </w:r>
      <w:r>
        <w:rPr>
          <w:rFonts w:hint="eastAsia" w:ascii="仿宋_GB2312" w:hAnsi="仿宋_GB2312" w:eastAsia="仿宋_GB2312" w:cs="仿宋_GB2312"/>
          <w:color w:val="000000"/>
          <w:sz w:val="32"/>
          <w:szCs w:val="32"/>
        </w:rPr>
        <w:t>本省行政区域内从事人参种植、加工、经营、检验、鉴定及其监督管理等活动，应当遵守本条例。</w:t>
      </w:r>
    </w:p>
    <w:p w14:paraId="1754213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人参用于食品、保健食品、药品和日化产品加工时，应当同时符合国家和省有关规定。</w:t>
      </w:r>
    </w:p>
    <w:p w14:paraId="4FA95956">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default" w:ascii="楷体" w:hAnsi="楷体" w:eastAsia="楷体" w:cs="楷体"/>
          <w:color w:val="000000"/>
          <w:spacing w:val="0"/>
          <w:kern w:val="2"/>
          <w:position w:val="0"/>
          <w:sz w:val="32"/>
          <w:szCs w:val="32"/>
          <w:highlight w:val="none"/>
          <w:shd w:val="clear" w:color="auto" w:fill="auto"/>
          <w:lang w:val="en-US" w:eastAsia="zh-CN" w:bidi="ar-SA"/>
        </w:rPr>
      </w:pPr>
      <w:r>
        <w:rPr>
          <w:rFonts w:hint="eastAsia" w:ascii="黑体" w:hAnsi="黑体" w:eastAsia="黑体"/>
          <w:color w:val="000000"/>
          <w:sz w:val="32"/>
          <w:szCs w:val="32"/>
        </w:rPr>
        <w:t>第三条</w:t>
      </w:r>
      <w:r>
        <w:rPr>
          <w:rFonts w:hint="eastAsia" w:ascii="仿宋_GB2312" w:hAnsi="仿宋_GB2312" w:eastAsia="仿宋_GB2312" w:cs="仿宋_GB2312"/>
          <w:color w:val="000000"/>
          <w:sz w:val="32"/>
          <w:szCs w:val="32"/>
        </w:rPr>
        <w:t xml:space="preserve"> 本条例所指人参，是指五加科人参属的人参，包括根、茎、叶、花、果实和种子、种苗。</w:t>
      </w:r>
      <w:r>
        <w:rPr>
          <w:rFonts w:ascii="仿宋_GB2312" w:hAnsi="仿宋_GB2312" w:eastAsia="仿宋_GB2312" w:cs="仿宋_GB2312"/>
          <w:color w:val="000000"/>
          <w:sz w:val="32"/>
          <w:szCs w:val="32"/>
          <w:lang w:val="en"/>
        </w:rPr>
        <w:t>人参</w:t>
      </w:r>
      <w:r>
        <w:rPr>
          <w:rFonts w:hint="eastAsia" w:ascii="仿宋_GB2312" w:hAnsi="仿宋_GB2312" w:eastAsia="仿宋_GB2312" w:cs="仿宋_GB2312"/>
          <w:color w:val="000000"/>
          <w:sz w:val="32"/>
          <w:szCs w:val="32"/>
        </w:rPr>
        <w:t>分为园参和林下参</w:t>
      </w:r>
      <w:r>
        <w:rPr>
          <w:rFonts w:ascii="仿宋_GB2312" w:hAnsi="仿宋_GB2312" w:eastAsia="仿宋_GB2312" w:cs="仿宋_GB2312"/>
          <w:color w:val="000000"/>
          <w:sz w:val="32"/>
          <w:szCs w:val="32"/>
          <w:lang w:val="en"/>
        </w:rPr>
        <w:t>。</w:t>
      </w:r>
      <w:r>
        <w:rPr>
          <w:rFonts w:hint="eastAsia" w:ascii="楷体" w:hAnsi="楷体" w:eastAsia="楷体" w:cs="楷体"/>
          <w:color w:val="000000"/>
          <w:spacing w:val="0"/>
          <w:kern w:val="2"/>
          <w:position w:val="0"/>
          <w:sz w:val="32"/>
          <w:szCs w:val="32"/>
          <w:highlight w:val="none"/>
          <w:shd w:val="clear" w:color="auto" w:fill="auto"/>
          <w:lang w:val="en-US" w:eastAsia="zh-CN" w:bidi="ar-SA"/>
        </w:rPr>
        <w:t xml:space="preserve"> </w:t>
      </w:r>
    </w:p>
    <w:p w14:paraId="4423A1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default" w:ascii="黑体" w:hAnsi="黑体" w:eastAsia="黑体"/>
          <w:color w:val="000000"/>
          <w:sz w:val="32"/>
          <w:szCs w:val="32"/>
          <w:lang w:val="en-US" w:eastAsia="zh-CN"/>
        </w:rPr>
      </w:pPr>
      <w:r>
        <w:rPr>
          <w:rFonts w:hint="eastAsia" w:ascii="黑体" w:hAnsi="黑体" w:eastAsia="黑体"/>
          <w:color w:val="000000"/>
          <w:sz w:val="32"/>
          <w:szCs w:val="32"/>
          <w:lang w:eastAsia="zh-CN"/>
        </w:rPr>
        <w:t>第四条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本省建立健全促进人参产业高质量发展协调机制，统筹推进人参产业发展重大政策、重大项目实施，协调解决跨区域跨部门重大事项、重大问题，督促指导人参产业发展工作落实。</w:t>
      </w:r>
    </w:p>
    <w:p w14:paraId="4AADA3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bdr w:val="single" w:color="auto" w:sz="4" w:space="0"/>
          <w:lang w:bidi="ar"/>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kern w:val="0"/>
          <w:sz w:val="32"/>
          <w:szCs w:val="32"/>
          <w:lang w:bidi="ar"/>
        </w:rPr>
        <w:t>省人民政府农业农村主管部门负责全省人参产业管理工作。</w:t>
      </w:r>
    </w:p>
    <w:p w14:paraId="245C3B56">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bdr w:val="single" w:color="auto" w:sz="4" w:space="0"/>
          <w:lang w:bidi="ar"/>
        </w:rPr>
      </w:pPr>
      <w:r>
        <w:rPr>
          <w:rFonts w:hint="eastAsia" w:ascii="仿宋_GB2312" w:hAnsi="仿宋_GB2312" w:eastAsia="仿宋_GB2312" w:cs="仿宋_GB2312"/>
          <w:color w:val="000000"/>
          <w:kern w:val="0"/>
          <w:sz w:val="32"/>
          <w:szCs w:val="32"/>
          <w:lang w:eastAsia="zh-CN" w:bidi="ar"/>
        </w:rPr>
        <w:t>有关的</w:t>
      </w:r>
      <w:r>
        <w:rPr>
          <w:rFonts w:hint="eastAsia" w:ascii="仿宋_GB2312" w:hAnsi="仿宋_GB2312" w:eastAsia="仿宋_GB2312" w:cs="仿宋_GB2312"/>
          <w:color w:val="000000"/>
          <w:kern w:val="0"/>
          <w:sz w:val="32"/>
          <w:szCs w:val="32"/>
          <w:lang w:bidi="ar"/>
        </w:rPr>
        <w:t>市（州）、县（市、区）人民政府农业农村主管部门负责本行政区域内的人参产业管理工作。</w:t>
      </w:r>
    </w:p>
    <w:p w14:paraId="0D179FE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kern w:val="0"/>
          <w:sz w:val="32"/>
          <w:szCs w:val="32"/>
          <w:lang w:bidi="ar"/>
        </w:rPr>
        <w:t>工业和信息化、自然资源、卫生健康、市场监督管理、林业和草原等有关部门，按照各自职责，共同做好人参产业发展和管理工作。</w:t>
      </w:r>
    </w:p>
    <w:p w14:paraId="70F0051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sz w:val="32"/>
          <w:szCs w:val="32"/>
        </w:rPr>
        <w:t>通过财政支持、金融、科技、人才扶持以及产业政策引导，支持人参产业高质量发展。</w:t>
      </w:r>
    </w:p>
    <w:p w14:paraId="6FF69B88">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黑体" w:hAnsi="黑体" w:eastAsia="黑体"/>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七</w:t>
      </w:r>
      <w:r>
        <w:rPr>
          <w:rFonts w:ascii="黑体" w:hAnsi="黑体" w:eastAsia="黑体"/>
          <w:color w:val="000000"/>
          <w:sz w:val="32"/>
          <w:szCs w:val="32"/>
          <w:lang w:val="en"/>
        </w:rPr>
        <w:t>条</w:t>
      </w:r>
      <w:r>
        <w:rPr>
          <w:rFonts w:ascii="黑体" w:hAnsi="黑体" w:eastAsia="黑体"/>
          <w:color w:val="000000"/>
          <w:spacing w:val="-6"/>
          <w:sz w:val="32"/>
          <w:szCs w:val="32"/>
          <w:lang w:val="en"/>
        </w:rPr>
        <w:t xml:space="preserve"> </w:t>
      </w: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spacing w:val="-6"/>
          <w:sz w:val="32"/>
          <w:szCs w:val="32"/>
        </w:rPr>
        <w:t>对在人参产业发展和管理中做出突出贡献的单位和个人按照国家和省有关规定给予奖励。</w:t>
      </w:r>
    </w:p>
    <w:p w14:paraId="31EDCC7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第二章 产业规划</w:t>
      </w:r>
    </w:p>
    <w:p w14:paraId="7A890488">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省人民政府应当坚持生态环境保护、资源合理配置和产业结构优化的原则，制定全省人参产业发展规划，并将其纳入国民经济和社会发展规划。</w:t>
      </w:r>
    </w:p>
    <w:p w14:paraId="3D9736B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市（州）、县（市、区）人民政府根据全省人参产业发展规划，制定本地区人参产业发展规划，并组织实施。</w:t>
      </w:r>
    </w:p>
    <w:p w14:paraId="77B3F7E1">
      <w:pPr>
        <w:pStyle w:val="2"/>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rPr>
          <w:rFonts w:hint="default" w:ascii="楷体" w:hAnsi="楷体" w:eastAsia="楷体" w:cs="楷体"/>
          <w:sz w:val="32"/>
          <w:szCs w:val="32"/>
          <w:lang w:val="en-US" w:eastAsia="zh-CN"/>
        </w:rPr>
      </w:pPr>
      <w:r>
        <w:rPr>
          <w:rFonts w:hint="eastAsia" w:ascii="仿宋_GB2312" w:hAnsi="仿宋_GB2312" w:eastAsia="仿宋_GB2312" w:cs="仿宋_GB2312"/>
          <w:b w:val="0"/>
          <w:bCs w:val="0"/>
          <w:color w:val="000000"/>
          <w:spacing w:val="0"/>
          <w:kern w:val="2"/>
          <w:sz w:val="32"/>
          <w:szCs w:val="32"/>
          <w:u w:val="none"/>
          <w:lang w:val="en-US" w:eastAsia="zh-CN" w:bidi="ar-SA"/>
        </w:rPr>
        <w:t>人参产业发展规划应当符合国土空间规划的要求，并与生态环境保护、农业农村、水利、林业和草原等相关规划相衔接。</w:t>
      </w:r>
    </w:p>
    <w:p w14:paraId="502BFDF3">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九</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省人民政府应当制定措施，科学调整优化人参种植业结构，有序发展林下参，推动园参和林下参同步发展。</w:t>
      </w:r>
    </w:p>
    <w:p w14:paraId="18AA08E8">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第十条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省人民政府</w:t>
      </w:r>
      <w:r>
        <w:rPr>
          <w:rFonts w:hint="eastAsia" w:ascii="仿宋_GB2312" w:hAnsi="仿宋_GB2312" w:eastAsia="仿宋_GB2312" w:cs="仿宋_GB2312"/>
          <w:color w:val="000000"/>
          <w:sz w:val="32"/>
          <w:szCs w:val="32"/>
        </w:rPr>
        <w:t>应当</w:t>
      </w:r>
      <w:r>
        <w:rPr>
          <w:rFonts w:hint="eastAsia" w:ascii="仿宋_GB2312" w:hAnsi="仿宋_GB2312" w:eastAsia="仿宋_GB2312" w:cs="仿宋_GB2312"/>
          <w:color w:val="000000"/>
          <w:sz w:val="32"/>
          <w:szCs w:val="32"/>
          <w:lang w:eastAsia="zh-CN"/>
        </w:rPr>
        <w:t>加强人参道地性保护，</w:t>
      </w:r>
      <w:r>
        <w:rPr>
          <w:rFonts w:hint="eastAsia" w:ascii="仿宋_GB2312" w:hAnsi="仿宋_GB2312" w:eastAsia="仿宋_GB2312" w:cs="仿宋_GB2312"/>
          <w:color w:val="000000"/>
          <w:sz w:val="32"/>
          <w:szCs w:val="32"/>
        </w:rPr>
        <w:t>根据产地内的地理位置、气候、土壤等自然因素和文化传承等人文因素，对产地实行分区保护，</w:t>
      </w:r>
      <w:r>
        <w:rPr>
          <w:rFonts w:hint="eastAsia" w:ascii="仿宋_GB2312" w:hAnsi="仿宋_GB2312" w:eastAsia="仿宋_GB2312" w:cs="仿宋_GB2312"/>
          <w:color w:val="000000"/>
          <w:sz w:val="32"/>
          <w:szCs w:val="32"/>
          <w:lang w:eastAsia="zh-CN"/>
        </w:rPr>
        <w:t>明确人参保护区、核心产区的空间布局和功能分区，</w:t>
      </w:r>
      <w:r>
        <w:rPr>
          <w:rFonts w:hint="eastAsia" w:ascii="仿宋_GB2312" w:hAnsi="仿宋_GB2312" w:eastAsia="仿宋_GB2312" w:cs="仿宋_GB2312"/>
          <w:color w:val="000000"/>
          <w:sz w:val="32"/>
          <w:szCs w:val="32"/>
        </w:rPr>
        <w:t>合理布局和管控</w:t>
      </w:r>
      <w:r>
        <w:rPr>
          <w:rFonts w:hint="eastAsia" w:ascii="仿宋_GB2312" w:hAnsi="仿宋_GB2312" w:eastAsia="仿宋_GB2312" w:cs="仿宋_GB2312"/>
          <w:color w:val="000000"/>
          <w:sz w:val="32"/>
          <w:szCs w:val="32"/>
          <w:lang w:eastAsia="zh-CN"/>
        </w:rPr>
        <w:t>园</w:t>
      </w:r>
      <w:r>
        <w:rPr>
          <w:rFonts w:hint="eastAsia" w:ascii="仿宋_GB2312" w:hAnsi="仿宋_GB2312" w:eastAsia="仿宋_GB2312" w:cs="仿宋_GB2312"/>
          <w:color w:val="000000"/>
          <w:sz w:val="32"/>
          <w:szCs w:val="32"/>
        </w:rPr>
        <w:t>参和林下参种植规</w:t>
      </w:r>
      <w:r>
        <w:rPr>
          <w:rFonts w:hint="eastAsia" w:ascii="仿宋_GB2312" w:hAnsi="仿宋_GB2312" w:eastAsia="仿宋_GB2312" w:cs="仿宋_GB2312"/>
          <w:color w:val="000000"/>
          <w:sz w:val="32"/>
          <w:szCs w:val="32"/>
          <w:lang w:eastAsia="zh-CN"/>
        </w:rPr>
        <w:t>模</w:t>
      </w:r>
      <w:r>
        <w:rPr>
          <w:rFonts w:hint="eastAsia" w:ascii="仿宋_GB2312" w:hAnsi="仿宋_GB2312" w:eastAsia="仿宋_GB2312" w:cs="仿宋_GB2312"/>
          <w:color w:val="000000"/>
          <w:sz w:val="32"/>
          <w:szCs w:val="32"/>
        </w:rPr>
        <w:t>。</w:t>
      </w:r>
    </w:p>
    <w:p w14:paraId="7E0B9AA8">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lang w:eastAsia="zh-CN"/>
        </w:rPr>
        <w:t>省人民政府应当加强人参产业园区建设，完善园区功能，优化园区布局，促进人参产业融合发展。</w:t>
      </w:r>
    </w:p>
    <w:p w14:paraId="4D590B5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支持培育壮大龙头企业，推动人参产业集群发展，提升人参产业综合效益和竞争力。</w:t>
      </w:r>
    </w:p>
    <w:p w14:paraId="05BAA6E6">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rPr>
        <w:t>第十</w:t>
      </w:r>
      <w:r>
        <w:rPr>
          <w:rFonts w:hint="eastAsia" w:ascii="黑体" w:hAnsi="黑体" w:eastAsia="黑体"/>
          <w:color w:val="000000"/>
          <w:sz w:val="32"/>
          <w:szCs w:val="32"/>
          <w:lang w:eastAsia="zh-CN"/>
        </w:rPr>
        <w:t>二</w:t>
      </w:r>
      <w:r>
        <w:rPr>
          <w:rFonts w:ascii="黑体" w:hAnsi="黑体" w:eastAsia="黑体"/>
          <w:color w:val="000000"/>
          <w:sz w:val="32"/>
          <w:szCs w:val="32"/>
          <w:lang w:val="en"/>
        </w:rPr>
        <w:t xml:space="preserve">条 </w:t>
      </w:r>
      <w:r>
        <w:rPr>
          <w:rFonts w:hint="eastAsia" w:ascii="仿宋_GB2312" w:hAnsi="仿宋_GB2312" w:eastAsia="仿宋_GB2312" w:cs="仿宋_GB2312"/>
          <w:sz w:val="32"/>
          <w:szCs w:val="32"/>
          <w:lang w:val="en-US" w:eastAsia="zh-CN"/>
        </w:rPr>
        <w:t>省人民政府应当完善市场布局，提升专业人参交易市场交易环境，推动人参产品综合市场及仓储物流集散中心建设，构建一体化协同发展人参市场格局。</w:t>
      </w:r>
    </w:p>
    <w:p w14:paraId="48CA21C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第三章 种植管理</w:t>
      </w:r>
    </w:p>
    <w:p w14:paraId="3907055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eastAsia="zh-CN"/>
        </w:rPr>
        <w:t>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及其有关部门应当健全人参育繁推体系，加强种植资源保护、种质资源创新和良种选育，完善人参共建共享种质资源库，开展种质资源精准鉴定评价，建设续种培优种质资源圃，加快新品种选育培优。</w:t>
      </w:r>
    </w:p>
    <w:p w14:paraId="7D51B36B">
      <w:pPr>
        <w:pStyle w:val="2"/>
        <w:ind w:firstLine="604" w:firstLineChars="200"/>
        <w:jc w:val="both"/>
        <w:rPr>
          <w:rFonts w:hint="default" w:ascii="黑体" w:hAnsi="黑体" w:eastAsia="黑体" w:cs="黑体"/>
          <w:sz w:val="32"/>
          <w:szCs w:val="32"/>
          <w:lang w:val="en-US" w:eastAsia="zh-CN"/>
        </w:rPr>
      </w:pPr>
      <w:r>
        <w:rPr>
          <w:rFonts w:hint="eastAsia" w:ascii="仿宋_GB2312" w:hAnsi="仿宋_GB2312" w:eastAsia="仿宋_GB2312" w:cs="仿宋_GB2312"/>
          <w:color w:val="000000"/>
          <w:sz w:val="32"/>
          <w:szCs w:val="32"/>
          <w:lang w:val="en-US" w:eastAsia="zh-CN"/>
        </w:rPr>
        <w:t>鼓励和支持科研机构、高等院校、企业培育适应性广、抗逆性强、高产的优良品种和地方品种，并及时采取知识产权保护措施。</w:t>
      </w:r>
    </w:p>
    <w:p w14:paraId="678994D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highlight w:val="yellow"/>
          <w:lang w:bidi="ar"/>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四</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kern w:val="0"/>
          <w:sz w:val="32"/>
          <w:szCs w:val="32"/>
          <w:highlight w:val="none"/>
          <w:lang w:bidi="ar"/>
        </w:rPr>
        <w:t>省人民政府农业农村、林业和草原主管部门会同市场监督管理等相关部门制定人参标准化种植规程。</w:t>
      </w:r>
    </w:p>
    <w:p w14:paraId="33BAC491">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省人民政府和有关的市（州）、县（市、区）人民政府及其有关部门应当引导人参种植者按照人参标准化种植规程规定的种植标准和要求，开展标准化种植。</w:t>
      </w:r>
    </w:p>
    <w:p w14:paraId="2CA3427E">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鼓励利用符合条件的国有林地开展林下参生态种植和仿野生栽培。</w:t>
      </w:r>
    </w:p>
    <w:p w14:paraId="597A62FB">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b/>
          <w:bCs/>
          <w:color w:val="000000"/>
          <w:kern w:val="0"/>
          <w:sz w:val="32"/>
          <w:szCs w:val="32"/>
          <w:lang w:bidi="ar"/>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五</w:t>
      </w:r>
      <w:r>
        <w:rPr>
          <w:rFonts w:ascii="黑体" w:hAnsi="黑体" w:eastAsia="黑体" w:cs="黑体"/>
          <w:color w:val="000000"/>
          <w:sz w:val="32"/>
          <w:szCs w:val="32"/>
          <w:lang w:val="en"/>
        </w:rPr>
        <w:t xml:space="preserve">条 </w:t>
      </w:r>
      <w:r>
        <w:rPr>
          <w:rFonts w:hint="eastAsia" w:ascii="仿宋_GB2312" w:hAnsi="仿宋_GB2312" w:eastAsia="仿宋_GB2312" w:cs="仿宋_GB2312"/>
          <w:bCs/>
          <w:color w:val="000000"/>
          <w:kern w:val="0"/>
          <w:sz w:val="32"/>
          <w:szCs w:val="32"/>
          <w:lang w:bidi="ar"/>
        </w:rPr>
        <w:t>人参种植实行备案制管理。</w:t>
      </w:r>
      <w:r>
        <w:rPr>
          <w:rFonts w:hint="eastAsia" w:ascii="仿宋_GB2312" w:hAnsi="仿宋_GB2312" w:eastAsia="仿宋_GB2312" w:cs="仿宋_GB2312"/>
          <w:bCs/>
          <w:color w:val="000000"/>
          <w:kern w:val="0"/>
          <w:sz w:val="32"/>
          <w:szCs w:val="32"/>
          <w:lang w:eastAsia="zh-CN" w:bidi="ar"/>
        </w:rPr>
        <w:t>有关的</w:t>
      </w:r>
      <w:r>
        <w:rPr>
          <w:rFonts w:hint="eastAsia" w:ascii="仿宋_GB2312" w:hAnsi="仿宋_GB2312" w:eastAsia="仿宋_GB2312" w:cs="仿宋_GB2312"/>
          <w:bCs/>
          <w:color w:val="000000"/>
          <w:kern w:val="0"/>
          <w:sz w:val="32"/>
          <w:szCs w:val="32"/>
          <w:lang w:bidi="ar"/>
        </w:rPr>
        <w:t>县（市、区）人民政府农业农村、林业和草原主管部门负责组织人参种植者按照要求填报人参种植地块、面积、品种、参龄及预计作货时间、作货面积和产量等信息。</w:t>
      </w:r>
    </w:p>
    <w:p w14:paraId="1863378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六</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人参种植者应当建立人参生产记录。人参生产记录自人参收获后保留期限不少于二年。</w:t>
      </w:r>
    </w:p>
    <w:p w14:paraId="169DA94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人参生产记录应当包括下列内容：</w:t>
      </w:r>
    </w:p>
    <w:p w14:paraId="3EDC262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（一）种植者姓名或者企业名称以及住址等基本信息；</w:t>
      </w:r>
    </w:p>
    <w:p w14:paraId="290AA02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（二）种植地块位置和土壤检测报告；</w:t>
      </w:r>
    </w:p>
    <w:p w14:paraId="333211D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（三）使用的种子、种苗、肥料、农药等农业投入品的名称、来源、用法、用量和使用日期；</w:t>
      </w:r>
    </w:p>
    <w:p w14:paraId="29974FC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（四）病、虫、鼠、草害和</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灾害发生和防治情况；</w:t>
      </w:r>
    </w:p>
    <w:p w14:paraId="70D9872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（五）种植日期和收获日期；</w:t>
      </w:r>
    </w:p>
    <w:p w14:paraId="4C58405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（六）质量安全检验情况；</w:t>
      </w:r>
    </w:p>
    <w:p w14:paraId="3427AA1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pacing w:val="0"/>
          <w:positio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rPr>
        <w:t>（七）销售数量及销售去向。</w:t>
      </w:r>
    </w:p>
    <w:p w14:paraId="37FE473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禁止在人参种植过程中实施下列行为：</w:t>
      </w:r>
    </w:p>
    <w:p w14:paraId="439B8D0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（一）使用禁用</w:t>
      </w:r>
      <w:r>
        <w:rPr>
          <w:rFonts w:hint="eastAsia" w:ascii="仿宋_GB2312" w:hAnsi="仿宋_GB2312" w:eastAsia="仿宋_GB2312" w:cs="仿宋_GB2312"/>
          <w:color w:val="000000"/>
          <w:sz w:val="32"/>
          <w:szCs w:val="32"/>
          <w:lang w:eastAsia="zh-CN"/>
        </w:rPr>
        <w:t>或者</w:t>
      </w:r>
      <w:r>
        <w:rPr>
          <w:rFonts w:hint="eastAsia" w:ascii="仿宋_GB2312" w:hAnsi="仿宋_GB2312" w:eastAsia="仿宋_GB2312" w:cs="仿宋_GB2312"/>
          <w:b w:val="0"/>
          <w:bCs w:val="0"/>
          <w:color w:val="000000"/>
          <w:sz w:val="32"/>
          <w:szCs w:val="32"/>
        </w:rPr>
        <w:t>违反</w:t>
      </w:r>
      <w:r>
        <w:rPr>
          <w:rFonts w:hint="eastAsia" w:ascii="仿宋_GB2312" w:hAnsi="仿宋_GB2312" w:eastAsia="仿宋_GB2312" w:cs="仿宋_GB2312"/>
          <w:b w:val="0"/>
          <w:bCs w:val="0"/>
          <w:color w:val="000000"/>
          <w:sz w:val="32"/>
          <w:szCs w:val="32"/>
          <w:lang w:eastAsia="zh-CN"/>
        </w:rPr>
        <w:t>有关</w:t>
      </w:r>
      <w:r>
        <w:rPr>
          <w:rFonts w:hint="eastAsia" w:ascii="仿宋_GB2312" w:hAnsi="仿宋_GB2312" w:eastAsia="仿宋_GB2312" w:cs="仿宋_GB2312"/>
          <w:b w:val="0"/>
          <w:bCs w:val="0"/>
          <w:color w:val="000000"/>
          <w:sz w:val="32"/>
          <w:szCs w:val="32"/>
        </w:rPr>
        <w:t>规定</w:t>
      </w:r>
      <w:r>
        <w:rPr>
          <w:rFonts w:hint="eastAsia" w:ascii="仿宋_GB2312" w:hAnsi="仿宋_GB2312" w:eastAsia="仿宋_GB2312" w:cs="仿宋_GB2312"/>
          <w:b w:val="0"/>
          <w:bCs w:val="0"/>
          <w:color w:val="000000"/>
          <w:sz w:val="32"/>
          <w:szCs w:val="32"/>
          <w:lang w:eastAsia="zh-CN"/>
        </w:rPr>
        <w:t>使用</w:t>
      </w:r>
      <w:r>
        <w:rPr>
          <w:rFonts w:hint="eastAsia" w:ascii="仿宋_GB2312" w:hAnsi="仿宋_GB2312" w:eastAsia="仿宋_GB2312" w:cs="仿宋_GB2312"/>
          <w:color w:val="000000"/>
          <w:sz w:val="32"/>
          <w:szCs w:val="32"/>
        </w:rPr>
        <w:t xml:space="preserve">限用的农药、肥料、农膜等农业投入品； </w:t>
      </w:r>
    </w:p>
    <w:p w14:paraId="662C1D3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（二）利用和使用农药残留或者重金属超标的土壤和种苗；</w:t>
      </w:r>
    </w:p>
    <w:p w14:paraId="51EF0AB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（三）使用不符合规定标准的灌溉用水；</w:t>
      </w:r>
    </w:p>
    <w:p w14:paraId="0F5BF53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（四）使用城市生活垃圾、工业垃圾和医院垃圾作为肥料；</w:t>
      </w:r>
    </w:p>
    <w:p w14:paraId="66CE470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（五）其他危害人参质量安全的种植行为。</w:t>
      </w:r>
    </w:p>
    <w:p w14:paraId="0E9899B0">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八</w:t>
      </w:r>
      <w:r>
        <w:rPr>
          <w:rFonts w:ascii="黑体" w:hAnsi="黑体" w:eastAsia="黑体" w:cs="黑体"/>
          <w:color w:val="000000"/>
          <w:sz w:val="32"/>
          <w:szCs w:val="32"/>
          <w:lang w:val="en"/>
        </w:rPr>
        <w:t>条</w:t>
      </w:r>
      <w:r>
        <w:rPr>
          <w:rFonts w:hint="eastAsia" w:ascii="黑体" w:hAnsi="黑体" w:eastAsia="黑体" w:cs="黑体"/>
          <w:color w:val="000000"/>
          <w:sz w:val="32"/>
          <w:szCs w:val="32"/>
          <w:lang w:val="en"/>
        </w:rPr>
        <w:t xml:space="preserve"> </w:t>
      </w:r>
      <w:r>
        <w:rPr>
          <w:rFonts w:hint="eastAsia" w:ascii="仿宋_GB2312" w:hAnsi="黑体" w:eastAsia="仿宋_GB2312" w:cs="黑体"/>
          <w:color w:val="000000"/>
          <w:sz w:val="32"/>
          <w:szCs w:val="32"/>
          <w:lang w:val="en"/>
        </w:rPr>
        <w:t>禁止在下列林地种植林下参：</w:t>
      </w:r>
    </w:p>
    <w:p w14:paraId="0C275342">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（一）自然保护地核心保护区内的林地；</w:t>
      </w:r>
    </w:p>
    <w:p w14:paraId="37A1A0F2">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（二）一级国家级公益林；</w:t>
      </w:r>
    </w:p>
    <w:p w14:paraId="59AB5999">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（三）林地保护等级为I级的林地；</w:t>
      </w:r>
    </w:p>
    <w:p w14:paraId="05796392">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（四）划定的天然林重点保护区域内的林地；</w:t>
      </w:r>
    </w:p>
    <w:p w14:paraId="772C417B">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（五）饮用水水源一级、二级保护区范围内的林地；</w:t>
      </w:r>
    </w:p>
    <w:p w14:paraId="7022C975">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（六）山脊、沟壑等生态脆弱、敏感区域内的林地；</w:t>
      </w:r>
    </w:p>
    <w:p w14:paraId="7B5B2243">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（七）珍稀濒危野生动植物重要栖息地（生境）及生物廊道内的林地；</w:t>
      </w:r>
    </w:p>
    <w:p w14:paraId="685E37EA">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u w:val="single"/>
          <w:shd w:val="clear" w:color="auto" w:fill="FFFFFF"/>
          <w:lang w:val="en"/>
        </w:rPr>
      </w:pPr>
      <w:r>
        <w:rPr>
          <w:rFonts w:hint="eastAsia" w:ascii="仿宋_GB2312" w:hAnsi="黑体" w:eastAsia="仿宋_GB2312" w:cs="黑体"/>
          <w:color w:val="000000"/>
          <w:sz w:val="32"/>
          <w:szCs w:val="32"/>
          <w:lang w:val="en"/>
        </w:rPr>
        <w:t>（八）其他按照国家规定不得种植的林地。</w:t>
      </w:r>
    </w:p>
    <w:p w14:paraId="1E00E390">
      <w:pPr>
        <w:keepNext w:val="0"/>
        <w:keepLines w:val="0"/>
        <w:pageBreakBefore w:val="0"/>
        <w:widowControl w:val="0"/>
        <w:kinsoku/>
        <w:wordWrap/>
        <w:overflowPunct/>
        <w:topLinePunct w:val="0"/>
        <w:autoSpaceDE/>
        <w:autoSpaceDN/>
        <w:bidi w:val="0"/>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第四章 加工和经营</w:t>
      </w:r>
    </w:p>
    <w:p w14:paraId="5199524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九</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省人民政府市场监督管理部门应当</w:t>
      </w:r>
      <w:r>
        <w:rPr>
          <w:rFonts w:hint="eastAsia" w:ascii="仿宋_GB2312" w:hAnsi="仿宋_GB2312" w:eastAsia="仿宋_GB2312" w:cs="仿宋_GB2312"/>
          <w:color w:val="000000"/>
          <w:sz w:val="32"/>
          <w:szCs w:val="32"/>
          <w:lang w:eastAsia="zh-CN"/>
        </w:rPr>
        <w:t>依照国家有关规定</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人参及其产品地方标准，省人民政府卫生健康主管部门应当组织</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食品原料用人参质量安全地方标准。</w:t>
      </w:r>
    </w:p>
    <w:p w14:paraId="2646283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加工和经营人参及其产品，应当符合相关质量安全标准。</w:t>
      </w:r>
    </w:p>
    <w:p w14:paraId="21B7DD3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人参及其产品的加工者和经营者，应当建立健全人参及其产品质量安全管理和检验制度，并对人参及其产品的质量安全负责。</w:t>
      </w:r>
    </w:p>
    <w:p w14:paraId="3BF6DB8C">
      <w:pPr>
        <w:pStyle w:val="8"/>
        <w:keepNext w:val="0"/>
        <w:keepLines w:val="0"/>
        <w:pageBreakBefore w:val="0"/>
        <w:widowControl w:val="0"/>
        <w:kinsoku/>
        <w:wordWrap/>
        <w:overflowPunct/>
        <w:topLinePunct w:val="0"/>
        <w:autoSpaceDE/>
        <w:autoSpaceDN/>
        <w:bidi w:val="0"/>
        <w:adjustRightInd w:val="0"/>
        <w:snapToGrid/>
        <w:spacing w:after="0" w:line="560" w:lineRule="exact"/>
        <w:ind w:firstLine="644" w:firstLineChars="200"/>
        <w:contextualSpacing/>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用于产品加工的人参，可以</w:t>
      </w:r>
      <w:r>
        <w:rPr>
          <w:rFonts w:hint="eastAsia" w:ascii="仿宋_GB2312" w:hAnsi="仿宋_GB2312" w:eastAsia="仿宋_GB2312" w:cs="仿宋_GB2312"/>
          <w:color w:val="000000"/>
          <w:sz w:val="32"/>
          <w:szCs w:val="32"/>
          <w:lang w:eastAsia="zh-CN"/>
        </w:rPr>
        <w:t>依照国家有关规定，</w:t>
      </w:r>
      <w:r>
        <w:rPr>
          <w:rFonts w:hint="eastAsia" w:ascii="仿宋_GB2312" w:hAnsi="仿宋_GB2312" w:eastAsia="仿宋_GB2312" w:cs="仿宋_GB2312"/>
          <w:color w:val="000000"/>
          <w:sz w:val="32"/>
          <w:szCs w:val="32"/>
        </w:rPr>
        <w:t>使用人参的根、茎、叶、花、果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参为原料的食品和保健食品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可以注明</w:t>
      </w:r>
      <w:r>
        <w:rPr>
          <w:rFonts w:hint="eastAsia" w:ascii="仿宋_GB2312" w:hAnsi="仿宋_GB2312" w:eastAsia="仿宋_GB2312" w:cs="仿宋_GB2312"/>
          <w:color w:val="000000"/>
          <w:sz w:val="32"/>
          <w:szCs w:val="32"/>
          <w:lang w:eastAsia="zh-CN"/>
        </w:rPr>
        <w:t>人参</w:t>
      </w:r>
      <w:r>
        <w:rPr>
          <w:rFonts w:hint="eastAsia" w:ascii="仿宋_GB2312" w:hAnsi="仿宋_GB2312" w:eastAsia="仿宋_GB2312" w:cs="仿宋_GB2312"/>
          <w:color w:val="000000"/>
          <w:sz w:val="32"/>
          <w:szCs w:val="32"/>
        </w:rPr>
        <w:t>生长年份。</w:t>
      </w:r>
    </w:p>
    <w:p w14:paraId="654F58D0">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禁止在人参加工和经营过程中实施下列行为：</w:t>
      </w:r>
    </w:p>
    <w:p w14:paraId="60B59FF7">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（一）加工和经营含有国家禁止使用的农药或者其他化学物质的人参及其产品；</w:t>
      </w:r>
    </w:p>
    <w:p w14:paraId="3E475A6E">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（二）加工和经营农药残留、重金属以及其他危害人体健康物质的含量超过相关质量安全标准限量的人参及其产品；</w:t>
      </w:r>
    </w:p>
    <w:p w14:paraId="3F40958B">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（三）使用有毒有害物质加工；</w:t>
      </w:r>
    </w:p>
    <w:p w14:paraId="01562145">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（四）使用的保鲜剂、防腐剂、添加剂或者其他制剂不符合国家有关标准和技术规范；</w:t>
      </w:r>
    </w:p>
    <w:p w14:paraId="503F7776">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（五）经营变质或者超过保质期的人参及其产品；</w:t>
      </w:r>
    </w:p>
    <w:p w14:paraId="496B1839">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（六）经营被有毒有害包装材料、容器、运输工具等污染的人参及其产品；</w:t>
      </w:r>
    </w:p>
    <w:p w14:paraId="668AC7EB">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（七）加工和经营其他不符合相关质量安全标准的人参及其产品。</w:t>
      </w:r>
    </w:p>
    <w:p w14:paraId="33520151">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三</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pacing w:val="-6"/>
          <w:sz w:val="32"/>
          <w:szCs w:val="32"/>
        </w:rPr>
        <w:t>人参加工者应当建立人参产品质量档案。人参产品质量档案的保留期限应当自产品售出后不少于三年</w:t>
      </w:r>
      <w:r>
        <w:rPr>
          <w:rFonts w:hint="eastAsia" w:ascii="仿宋_GB2312" w:hAnsi="仿宋_GB2312" w:eastAsia="仿宋_GB2312" w:cs="仿宋_GB2312"/>
          <w:color w:val="000000"/>
          <w:sz w:val="32"/>
          <w:szCs w:val="32"/>
        </w:rPr>
        <w:t>。</w:t>
      </w:r>
    </w:p>
    <w:p w14:paraId="5C6C6E7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人参产品质量档案应当包括下列内容：</w:t>
      </w:r>
    </w:p>
    <w:p w14:paraId="457471C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（一）原料人参的来源、生长年限、数量和检验报告; </w:t>
      </w:r>
    </w:p>
    <w:p w14:paraId="3D548DA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（二）产品名称、工艺流程和生产数量；</w:t>
      </w:r>
    </w:p>
    <w:p w14:paraId="268B747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（三）使用的辅料、添加剂以及其他生物或者化学材料的名称、来源、数量、日期和使用方法等；</w:t>
      </w:r>
    </w:p>
    <w:p w14:paraId="2C68F46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（四）产品标准；</w:t>
      </w:r>
    </w:p>
    <w:p w14:paraId="08BCC634">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（五）产品加工和售出日期、批次、检验报告，销售去向和数量。</w:t>
      </w:r>
    </w:p>
    <w:p w14:paraId="42D7EC9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黑体" w:hAnsi="黑体" w:eastAsia="黑体"/>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 xml:space="preserve">条 </w:t>
      </w:r>
      <w:r>
        <w:rPr>
          <w:rFonts w:hint="eastAsia" w:ascii="仿宋_GB2312" w:hAnsi="仿宋" w:eastAsia="仿宋_GB2312"/>
          <w:color w:val="000000"/>
          <w:sz w:val="32"/>
          <w:szCs w:val="32"/>
        </w:rPr>
        <w:t>经营者通过网络销售人参及其产品的，应当标明真实的产品名称、产地、品类等基本信息，不得通过虚构人参的品类和生长环境、夸大产品等级和网络交易成交量、展示虚假检验检测证明或鉴定证书等行为误导和欺骗消费者。</w:t>
      </w:r>
    </w:p>
    <w:p w14:paraId="3A15E3C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 w:eastAsia="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五</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网络交易平台经营者应当对入网人参及其产品经营者的身份、地址、联系方式、行政许可等真实信息，进行核验、登记，建立登记档案，并至少每六个月核验更新一次。对平台内经营者身份信息的保存时间自其退出平台之日起不少于三年。</w:t>
      </w:r>
    </w:p>
    <w:p w14:paraId="1A9C1771">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网络交易平台经营者对人参及其产品信息，支付记录、物流快递、退换货以及售后等交易信息的保存时间自交易完成之日起不少于三年。</w:t>
      </w:r>
    </w:p>
    <w:p w14:paraId="47E84B0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rPr>
        <w:t>人参及其产品集中交易市场的开办者或者主办者应当履行下列管理义务：</w:t>
      </w:r>
    </w:p>
    <w:p w14:paraId="4A0432E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（一）查验经营者资质；</w:t>
      </w:r>
    </w:p>
    <w:p w14:paraId="4D9DE66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（二）建立经营者档案，记载经营者的基本情况、主要进货渠道、经营品种、品牌和供货商状况等信息；</w:t>
      </w:r>
    </w:p>
    <w:p w14:paraId="47154CB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（三）查验人参及其产品的检验报告或合格证；</w:t>
      </w:r>
    </w:p>
    <w:p w14:paraId="3A0A4F8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（四）与经营者签订质量安全管理责任协议，明确经营者对所经营的人参及其产品质量安全的管理责任；</w:t>
      </w:r>
    </w:p>
    <w:p w14:paraId="7508D8D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（五）定期对经营者的经营行为和经营档案进行检查；</w:t>
      </w:r>
    </w:p>
    <w:p w14:paraId="3EA92FE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（六）其他应当履行的人参及其产品质量安全管理义务。</w:t>
      </w:r>
    </w:p>
    <w:p w14:paraId="1083901D">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人参及其产品集中交易市场的开办者或者主办者发现经营者有违法行为的，应当及时制止，并立即将有关情况报告辖区市场监督管理部门处理。</w:t>
      </w:r>
    </w:p>
    <w:p w14:paraId="7EA760F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加工和经营散装人参及其产品，应当在散装人参及其产品的容器或者外包装上标明产品名称、生产日期、保质期、加工者和经营者名称以及联系方式等内容。</w:t>
      </w:r>
    </w:p>
    <w:p w14:paraId="6C38186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加工和经营预包装人参及其产品，应当有产品标签、产品合格证。产品标签应当标注下列内容：</w:t>
      </w:r>
    </w:p>
    <w:p w14:paraId="6D32E41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（一）产品名称、规格、净含量、食用方法、生产日期、保质期；</w:t>
      </w:r>
    </w:p>
    <w:p w14:paraId="7B91CA2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（二）加工者和经营者的名称、地址、联系方式；</w:t>
      </w:r>
    </w:p>
    <w:p w14:paraId="271551A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（三）产品标准</w:t>
      </w:r>
      <w:r>
        <w:rPr>
          <w:rFonts w:hint="eastAsia" w:ascii="仿宋_GB2312" w:hAnsi="仿宋_GB2312" w:eastAsia="仿宋_GB2312" w:cs="仿宋_GB2312"/>
          <w:color w:val="000000"/>
          <w:sz w:val="32"/>
          <w:szCs w:val="32"/>
          <w:lang w:eastAsia="zh-CN"/>
        </w:rPr>
        <w:t>代号</w:t>
      </w:r>
      <w:r>
        <w:rPr>
          <w:rFonts w:hint="eastAsia" w:ascii="仿宋_GB2312" w:hAnsi="仿宋_GB2312" w:eastAsia="仿宋_GB2312" w:cs="仿宋_GB2312"/>
          <w:color w:val="000000"/>
          <w:sz w:val="32"/>
          <w:szCs w:val="32"/>
        </w:rPr>
        <w:t>；</w:t>
      </w:r>
    </w:p>
    <w:p w14:paraId="4A50FEC4">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（四）贮存条件；</w:t>
      </w:r>
    </w:p>
    <w:p w14:paraId="25D8DD5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（五）使用的添加剂在国家标准中的通用名称；</w:t>
      </w:r>
    </w:p>
    <w:p w14:paraId="1398014A">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（六）法律法规或者产品标准中规定应当注明的其他事项。</w:t>
      </w:r>
    </w:p>
    <w:p w14:paraId="58595EC1">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禁止加工和经营假冒、劣质人参及其产品。</w:t>
      </w:r>
    </w:p>
    <w:p w14:paraId="64F0BE0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有下列情形之一的，为假冒人参及其产品：</w:t>
      </w:r>
    </w:p>
    <w:p w14:paraId="20AD379A">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（一）以非人参冒充人参的；</w:t>
      </w:r>
    </w:p>
    <w:p w14:paraId="2B1246B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（二）人参的种类、品类、产地与标签或者标识不符的；</w:t>
      </w:r>
    </w:p>
    <w:p w14:paraId="14A13553">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（三）粘接、使用其他人参拼接的。 </w:t>
      </w:r>
    </w:p>
    <w:p w14:paraId="712CA7E4">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有下列情形之一的，为劣质人参及其产品：</w:t>
      </w:r>
    </w:p>
    <w:p w14:paraId="4D55771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（一）低于国家或者地方质量标准的；</w:t>
      </w:r>
    </w:p>
    <w:p w14:paraId="3D10D3E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（二）低于产品标注的质量标准的；</w:t>
      </w:r>
    </w:p>
    <w:p w14:paraId="4E6359B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default" w:ascii="黑体" w:hAnsi="黑体" w:eastAsia="黑体"/>
          <w:color w:val="000000"/>
          <w:sz w:val="32"/>
          <w:szCs w:val="32"/>
          <w:lang w:val="en-US" w:eastAsia="zh-CN"/>
        </w:rPr>
      </w:pPr>
      <w:r>
        <w:rPr>
          <w:rFonts w:hint="eastAsia" w:ascii="仿宋_GB2312" w:hAnsi="仿宋_GB2312" w:eastAsia="仿宋_GB2312" w:cs="仿宋_GB2312"/>
          <w:color w:val="000000"/>
          <w:sz w:val="32"/>
          <w:szCs w:val="32"/>
        </w:rPr>
        <w:t>（三）掺杂掺假、以次充好的。</w:t>
      </w:r>
    </w:p>
    <w:p w14:paraId="02E77B50">
      <w:pPr>
        <w:keepNext w:val="0"/>
        <w:keepLines w:val="0"/>
        <w:pageBreakBefore w:val="0"/>
        <w:widowControl w:val="0"/>
        <w:kinsoku/>
        <w:wordWrap/>
        <w:overflowPunct/>
        <w:topLinePunct w:val="0"/>
        <w:autoSpaceDE/>
        <w:autoSpaceDN/>
        <w:bidi w:val="0"/>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第五章 质量管理</w:t>
      </w:r>
    </w:p>
    <w:p w14:paraId="35A26B9B">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市（州）人民政府应当积极推进人参标准体系建设。</w:t>
      </w:r>
    </w:p>
    <w:p w14:paraId="3D8CC845">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省人民政府和有关的市（州）、县（市、区）</w:t>
      </w:r>
      <w:r>
        <w:rPr>
          <w:rFonts w:hint="eastAsia" w:ascii="仿宋_GB2312" w:hAnsi="仿宋_GB2312" w:eastAsia="仿宋_GB2312" w:cs="仿宋_GB2312"/>
          <w:color w:val="000000"/>
          <w:sz w:val="32"/>
          <w:szCs w:val="32"/>
        </w:rPr>
        <w:t>人民政府</w:t>
      </w:r>
      <w:r>
        <w:rPr>
          <w:rFonts w:hint="eastAsia" w:ascii="仿宋_GB2312" w:hAnsi="仿宋_GB2312" w:eastAsia="仿宋_GB2312" w:cs="仿宋_GB2312"/>
          <w:b w:val="0"/>
          <w:bCs w:val="0"/>
          <w:color w:val="000000"/>
          <w:sz w:val="32"/>
          <w:szCs w:val="32"/>
          <w:u w:val="none"/>
        </w:rPr>
        <w:t>农业农村、林业</w:t>
      </w:r>
      <w:r>
        <w:rPr>
          <w:rFonts w:hint="eastAsia" w:ascii="仿宋_GB2312" w:hAnsi="仿宋_GB2312" w:eastAsia="仿宋_GB2312" w:cs="仿宋_GB2312"/>
          <w:b w:val="0"/>
          <w:bCs w:val="0"/>
          <w:color w:val="000000"/>
          <w:sz w:val="32"/>
          <w:szCs w:val="32"/>
          <w:u w:val="none"/>
          <w:lang w:eastAsia="zh-CN"/>
        </w:rPr>
        <w:t>和草原</w:t>
      </w:r>
      <w:r>
        <w:rPr>
          <w:rFonts w:hint="eastAsia" w:ascii="仿宋_GB2312" w:hAnsi="仿宋_GB2312" w:eastAsia="仿宋_GB2312" w:cs="仿宋_GB2312"/>
          <w:b w:val="0"/>
          <w:bCs w:val="0"/>
          <w:color w:val="000000"/>
          <w:sz w:val="32"/>
          <w:szCs w:val="32"/>
          <w:u w:val="none"/>
        </w:rPr>
        <w:t>、市场监督管理等部门应当建立统一的人参种植、加工、仓储、流通的</w:t>
      </w:r>
      <w:r>
        <w:rPr>
          <w:rFonts w:hint="eastAsia" w:ascii="仿宋_GB2312" w:hAnsi="仿宋_GB2312" w:eastAsia="仿宋_GB2312" w:cs="仿宋_GB2312"/>
          <w:b w:val="0"/>
          <w:bCs w:val="0"/>
          <w:color w:val="000000"/>
          <w:sz w:val="32"/>
          <w:szCs w:val="32"/>
          <w:u w:val="none"/>
          <w:lang w:eastAsia="zh-CN"/>
        </w:rPr>
        <w:t>全过程</w:t>
      </w:r>
      <w:r>
        <w:rPr>
          <w:rFonts w:hint="eastAsia" w:ascii="仿宋_GB2312" w:hAnsi="仿宋_GB2312" w:eastAsia="仿宋_GB2312" w:cs="仿宋_GB2312"/>
          <w:b w:val="0"/>
          <w:bCs w:val="0"/>
          <w:color w:val="000000"/>
          <w:sz w:val="32"/>
          <w:szCs w:val="32"/>
          <w:u w:val="none"/>
        </w:rPr>
        <w:t>质量</w:t>
      </w:r>
      <w:r>
        <w:rPr>
          <w:rFonts w:hint="eastAsia" w:ascii="仿宋_GB2312" w:hAnsi="仿宋_GB2312" w:eastAsia="仿宋_GB2312" w:cs="仿宋_GB2312"/>
          <w:b w:val="0"/>
          <w:bCs w:val="0"/>
          <w:color w:val="000000"/>
          <w:sz w:val="32"/>
          <w:szCs w:val="32"/>
          <w:u w:val="none"/>
          <w:lang w:eastAsia="zh-CN"/>
        </w:rPr>
        <w:t>安全</w:t>
      </w:r>
      <w:r>
        <w:rPr>
          <w:rFonts w:hint="eastAsia" w:ascii="仿宋_GB2312" w:hAnsi="仿宋_GB2312" w:eastAsia="仿宋_GB2312" w:cs="仿宋_GB2312"/>
          <w:b w:val="0"/>
          <w:bCs w:val="0"/>
          <w:color w:val="000000"/>
          <w:sz w:val="32"/>
          <w:szCs w:val="32"/>
          <w:u w:val="none"/>
        </w:rPr>
        <w:t>追溯</w:t>
      </w:r>
      <w:r>
        <w:rPr>
          <w:rFonts w:hint="eastAsia" w:ascii="仿宋_GB2312" w:hAnsi="仿宋_GB2312" w:eastAsia="仿宋_GB2312" w:cs="仿宋_GB2312"/>
          <w:b w:val="0"/>
          <w:bCs w:val="0"/>
          <w:color w:val="000000"/>
          <w:sz w:val="32"/>
          <w:szCs w:val="32"/>
          <w:u w:val="none"/>
          <w:lang w:eastAsia="zh-CN"/>
        </w:rPr>
        <w:t>制度和追溯协作机制</w:t>
      </w:r>
      <w:r>
        <w:rPr>
          <w:rFonts w:hint="eastAsia" w:ascii="仿宋_GB2312" w:hAnsi="仿宋_GB2312" w:eastAsia="仿宋_GB2312" w:cs="仿宋_GB2312"/>
          <w:color w:val="000000"/>
          <w:sz w:val="32"/>
          <w:szCs w:val="32"/>
        </w:rPr>
        <w:t>。支持和鼓励人参种植、加工、经营企业建立产品</w:t>
      </w:r>
      <w:r>
        <w:rPr>
          <w:rFonts w:hint="eastAsia" w:ascii="仿宋_GB2312" w:hAnsi="仿宋_GB2312" w:eastAsia="仿宋_GB2312" w:cs="仿宋_GB2312"/>
          <w:color w:val="000000"/>
          <w:sz w:val="32"/>
          <w:szCs w:val="32"/>
          <w:lang w:eastAsia="zh-CN"/>
        </w:rPr>
        <w:t>质量安全</w:t>
      </w:r>
      <w:r>
        <w:rPr>
          <w:rFonts w:hint="eastAsia" w:ascii="仿宋_GB2312" w:hAnsi="仿宋_GB2312" w:eastAsia="仿宋_GB2312" w:cs="仿宋_GB2312"/>
          <w:color w:val="000000"/>
          <w:sz w:val="32"/>
          <w:szCs w:val="32"/>
        </w:rPr>
        <w:t>追溯</w:t>
      </w:r>
      <w:r>
        <w:rPr>
          <w:rFonts w:hint="eastAsia" w:ascii="仿宋_GB2312" w:hAnsi="仿宋_GB2312" w:eastAsia="仿宋_GB2312" w:cs="仿宋_GB2312"/>
          <w:b w:val="0"/>
          <w:bCs w:val="0"/>
          <w:color w:val="000000"/>
          <w:sz w:val="32"/>
          <w:szCs w:val="32"/>
          <w:lang w:eastAsia="zh-CN"/>
        </w:rPr>
        <w:t>体系</w:t>
      </w:r>
      <w:r>
        <w:rPr>
          <w:rFonts w:hint="eastAsia" w:ascii="仿宋_GB2312" w:hAnsi="仿宋_GB2312" w:eastAsia="仿宋_GB2312" w:cs="仿宋_GB2312"/>
          <w:color w:val="000000"/>
          <w:sz w:val="32"/>
          <w:szCs w:val="32"/>
        </w:rPr>
        <w:t>。</w:t>
      </w:r>
    </w:p>
    <w:p w14:paraId="66F7464A">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县级以上人民政府有关部门应当按照职责分工，对加工和经营的人参及其产品进行监督抽查。被抽查的单位和个人，应当予以配合。监督抽查检验应当委托具有合法资质的检验检测和鉴定机构进行。</w:t>
      </w:r>
    </w:p>
    <w:p w14:paraId="1D08F61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进行抽样检验，应当购买抽取的样品，不收取检验费用和其他任何费用。</w:t>
      </w:r>
    </w:p>
    <w:p w14:paraId="7FD040E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县级以上人民政府有关部门应当定期对在监督抽查中发现的假冒伪劣人参及其产品的品牌、加工经营者以及其他相关信息予以公布。</w:t>
      </w:r>
    </w:p>
    <w:p w14:paraId="22BD91C4">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销售的人参及其产品标注理化指标、卫生指标等产品质量特性状况的，应当具有人参检验检测机构出具的检验检测证明。</w:t>
      </w:r>
    </w:p>
    <w:p w14:paraId="1128CC09">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宋体" w:eastAsia="仿宋_GB2312" w:cs="仿宋_GB2312"/>
          <w:color w:val="000000"/>
          <w:kern w:val="0"/>
          <w:sz w:val="31"/>
          <w:szCs w:val="31"/>
          <w:highlight w:val="yellow"/>
        </w:rPr>
      </w:pPr>
      <w:r>
        <w:rPr>
          <w:rFonts w:hint="eastAsia" w:ascii="黑体" w:hAnsi="黑体" w:eastAsia="黑体"/>
          <w:color w:val="000000"/>
          <w:sz w:val="32"/>
          <w:szCs w:val="32"/>
          <w:highlight w:val="none"/>
        </w:rPr>
        <w:t>第三十</w:t>
      </w:r>
      <w:r>
        <w:rPr>
          <w:rFonts w:hint="eastAsia" w:ascii="黑体" w:hAnsi="黑体" w:eastAsia="黑体"/>
          <w:color w:val="000000"/>
          <w:sz w:val="32"/>
          <w:szCs w:val="32"/>
          <w:highlight w:val="none"/>
          <w:lang w:eastAsia="zh-CN"/>
        </w:rPr>
        <w:t>二</w:t>
      </w:r>
      <w:r>
        <w:rPr>
          <w:rFonts w:ascii="黑体" w:hAnsi="黑体" w:eastAsia="黑体"/>
          <w:color w:val="000000"/>
          <w:sz w:val="32"/>
          <w:szCs w:val="32"/>
          <w:highlight w:val="none"/>
          <w:lang w:val="en"/>
        </w:rPr>
        <w:t xml:space="preserve">条 </w:t>
      </w:r>
      <w:r>
        <w:rPr>
          <w:rFonts w:hint="eastAsia" w:ascii="仿宋_GB2312" w:hAnsi="宋体" w:eastAsia="仿宋_GB2312" w:cs="仿宋_GB2312"/>
          <w:color w:val="000000"/>
          <w:kern w:val="0"/>
          <w:sz w:val="31"/>
          <w:szCs w:val="31"/>
          <w:highlight w:val="none"/>
        </w:rPr>
        <w:t>从事人参检验检测的机构和人参鉴定的机构应当具有国家规定的从业资质资格。</w:t>
      </w:r>
    </w:p>
    <w:p w14:paraId="0C26F30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 w:eastAsia="仿宋_GB2312"/>
          <w:color w:val="00000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三</w:t>
      </w:r>
      <w:r>
        <w:rPr>
          <w:rFonts w:hint="eastAsia" w:ascii="黑体" w:hAnsi="黑体" w:eastAsia="黑体"/>
          <w:color w:val="000000"/>
          <w:sz w:val="32"/>
          <w:szCs w:val="32"/>
        </w:rPr>
        <w:t xml:space="preserve">条 </w:t>
      </w:r>
      <w:r>
        <w:rPr>
          <w:rFonts w:hint="eastAsia" w:ascii="仿宋_GB2312" w:hAnsi="仿宋" w:eastAsia="仿宋_GB2312"/>
          <w:color w:val="000000"/>
          <w:sz w:val="32"/>
          <w:szCs w:val="32"/>
        </w:rPr>
        <w:t>人参检验检测和鉴定实行检验检测机构以及鉴定机构负责制。</w:t>
      </w:r>
    </w:p>
    <w:p w14:paraId="1E63D8C7">
      <w:pPr>
        <w:keepNext w:val="0"/>
        <w:keepLines w:val="0"/>
        <w:pageBreakBefore w:val="0"/>
        <w:widowControl w:val="0"/>
        <w:kinsoku/>
        <w:wordWrap/>
        <w:overflowPunct/>
        <w:topLinePunct w:val="0"/>
        <w:autoSpaceDE/>
        <w:autoSpaceDN/>
        <w:bidi w:val="0"/>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第六章 产业扶持</w:t>
      </w:r>
    </w:p>
    <w:p w14:paraId="0D3029EB">
      <w:pPr>
        <w:keepNext w:val="0"/>
        <w:keepLines w:val="0"/>
        <w:pageBreakBefore w:val="0"/>
        <w:widowControl w:val="0"/>
        <w:kinsoku/>
        <w:wordWrap/>
        <w:overflowPunct/>
        <w:topLinePunct w:val="0"/>
        <w:autoSpaceDE/>
        <w:autoSpaceDN/>
        <w:bidi w:val="0"/>
        <w:snapToGrid/>
        <w:spacing w:after="0" w:line="560" w:lineRule="exact"/>
        <w:ind w:right="277" w:firstLine="644" w:firstLineChars="200"/>
        <w:contextualSpacing/>
        <w:rPr>
          <w:rFonts w:hint="eastAsia" w:ascii="仿宋_GB2312" w:hAnsi="仿宋_GB2312" w:eastAsia="仿宋_GB2312" w:cs="仿宋_GB2312"/>
          <w:color w:val="000000"/>
          <w:sz w:val="32"/>
          <w:szCs w:val="32"/>
          <w:u w:val="single"/>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四</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省人民政府和</w:t>
      </w: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县（市、区）人民政府应当对人参产业发展予以资金扶持。</w:t>
      </w:r>
    </w:p>
    <w:p w14:paraId="1CEA0C84">
      <w:pPr>
        <w:keepNext w:val="0"/>
        <w:keepLines w:val="0"/>
        <w:pageBreakBefore w:val="0"/>
        <w:widowControl w:val="0"/>
        <w:kinsoku/>
        <w:wordWrap/>
        <w:overflowPunct/>
        <w:topLinePunct w:val="0"/>
        <w:autoSpaceDE/>
        <w:autoSpaceDN/>
        <w:bidi w:val="0"/>
        <w:snapToGrid/>
        <w:spacing w:after="0" w:line="560" w:lineRule="exact"/>
        <w:ind w:right="101" w:firstLine="644" w:firstLineChars="200"/>
        <w:contextualSpacing/>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五</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省人民政府和有关的市（州）、县（市、区）人民政府应当鼓励和支持人参精深加工产业发展。</w:t>
      </w:r>
    </w:p>
    <w:p w14:paraId="1E85A085">
      <w:pPr>
        <w:keepNext w:val="0"/>
        <w:keepLines w:val="0"/>
        <w:pageBreakBefore w:val="0"/>
        <w:widowControl w:val="0"/>
        <w:kinsoku/>
        <w:wordWrap/>
        <w:overflowPunct/>
        <w:topLinePunct w:val="0"/>
        <w:autoSpaceDE/>
        <w:autoSpaceDN/>
        <w:bidi w:val="0"/>
        <w:snapToGrid/>
        <w:spacing w:after="0" w:line="560" w:lineRule="exact"/>
        <w:ind w:right="101" w:firstLine="644" w:firstLineChars="200"/>
        <w:contextualSpacing/>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省人民政府和有关的市（州）、县（市、区）人民政府应当鼓励和支持</w:t>
      </w:r>
      <w:r>
        <w:rPr>
          <w:rFonts w:hint="eastAsia" w:ascii="仿宋_GB2312" w:hAnsi="仿宋_GB2312" w:eastAsia="仿宋_GB2312" w:cs="仿宋_GB2312"/>
          <w:color w:val="000000"/>
          <w:sz w:val="32"/>
          <w:szCs w:val="32"/>
          <w:lang w:eastAsia="zh-CN"/>
        </w:rPr>
        <w:t>新型农业经营主体</w:t>
      </w:r>
      <w:r>
        <w:rPr>
          <w:rFonts w:hint="eastAsia" w:ascii="仿宋_GB2312" w:hAnsi="仿宋_GB2312" w:eastAsia="仿宋_GB2312" w:cs="仿宋_GB2312"/>
          <w:color w:val="000000"/>
          <w:sz w:val="32"/>
          <w:szCs w:val="32"/>
        </w:rPr>
        <w:t>和人参行业协会的发展，发挥</w:t>
      </w:r>
      <w:r>
        <w:rPr>
          <w:rFonts w:hint="eastAsia" w:ascii="仿宋_GB2312" w:hAnsi="仿宋_GB2312" w:eastAsia="仿宋_GB2312" w:cs="仿宋_GB2312"/>
          <w:color w:val="000000"/>
          <w:sz w:val="32"/>
          <w:szCs w:val="32"/>
          <w:lang w:eastAsia="zh-CN"/>
        </w:rPr>
        <w:t>新型农业经营主体</w:t>
      </w:r>
      <w:r>
        <w:rPr>
          <w:rFonts w:hint="eastAsia" w:ascii="仿宋_GB2312" w:hAnsi="仿宋_GB2312" w:eastAsia="仿宋_GB2312" w:cs="仿宋_GB2312"/>
          <w:color w:val="000000"/>
          <w:sz w:val="32"/>
          <w:szCs w:val="32"/>
        </w:rPr>
        <w:t>和人参行业协会自律作用，促进人参产业健康发展。</w:t>
      </w:r>
    </w:p>
    <w:p w14:paraId="14E02DBE">
      <w:pPr>
        <w:keepNext w:val="0"/>
        <w:keepLines w:val="0"/>
        <w:pageBreakBefore w:val="0"/>
        <w:widowControl w:val="0"/>
        <w:kinsoku/>
        <w:wordWrap/>
        <w:overflowPunct/>
        <w:topLinePunct w:val="0"/>
        <w:autoSpaceDE/>
        <w:autoSpaceDN/>
        <w:bidi w:val="0"/>
        <w:snapToGrid/>
        <w:spacing w:after="0" w:line="560" w:lineRule="exact"/>
        <w:ind w:right="101" w:firstLine="644" w:firstLineChars="200"/>
        <w:contextualSpacing/>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六</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鼓励和支持推广、应用人参及其产品的标准化生产，开展人参及其产品质量安全科学技术研究，推广先进的质量安全生产技术，推行科学的质量安全管理方法。</w:t>
      </w:r>
    </w:p>
    <w:p w14:paraId="20FF0E3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w:t>
      </w:r>
      <w:r>
        <w:rPr>
          <w:rFonts w:hint="eastAsia" w:ascii="仿宋_GB2312" w:hAnsi="仿宋_GB2312" w:eastAsia="仿宋_GB2312" w:cs="仿宋_GB2312"/>
          <w:color w:val="000000"/>
          <w:sz w:val="32"/>
          <w:szCs w:val="32"/>
        </w:rPr>
        <w:t>人民政府应当建立完善人参产业创新研发和技术推广体系，对人参科研项目给予重点扶持，鼓励和支持科研机构、院校、企业和个人研发推广新品种、新产品、新技术和新工艺，鼓励研制使用优质种苗、用土、用肥、用药、用膜、非林地种植和精深加工等新技术。省人民政府对科研成果的推广应用给予资金支持。</w:t>
      </w:r>
    </w:p>
    <w:p w14:paraId="3451952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u w:val="single"/>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省人民政府扶持人参品牌建设，推动地理标志的培育与运用，通过高品质定位、高质量生产、高标准管理和广泛宣传，培育具有地域优势和特色的“吉林长白山人参”区域公用品牌。</w:t>
      </w:r>
    </w:p>
    <w:p w14:paraId="509F2CA1">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各级人民政府应当鼓励和支持新闻媒体、人参加工经营企业和社会各界宣传长白山人参文化，推介“吉林长白山人参”区域公用品牌，提升品牌知名度。鼓励企业使用地理标志和创建自有品牌。</w:t>
      </w:r>
    </w:p>
    <w:p w14:paraId="0E5A855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lang w:eastAsia="zh-CN"/>
        </w:rPr>
      </w:pPr>
      <w:r>
        <w:rPr>
          <w:rFonts w:hint="eastAsia" w:ascii="黑体" w:hAnsi="黑体" w:eastAsia="黑体"/>
          <w:color w:val="000000"/>
          <w:sz w:val="32"/>
          <w:szCs w:val="32"/>
          <w:lang w:eastAsia="zh-CN"/>
        </w:rPr>
        <w:t>第四十条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省人民政府和有关的市（州）、县（市、区）人民政府</w:t>
      </w:r>
      <w:r>
        <w:rPr>
          <w:rFonts w:hint="eastAsia" w:ascii="仿宋_GB2312" w:hAnsi="仿宋_GB2312" w:eastAsia="仿宋_GB2312" w:cs="仿宋_GB2312"/>
          <w:color w:val="000000"/>
          <w:sz w:val="32"/>
          <w:szCs w:val="32"/>
          <w:lang w:eastAsia="zh-CN"/>
        </w:rPr>
        <w:t>应当重视长白山人参文化的保护与传承，搜集、研究、利用好长白山人参的传统技艺、饮食文化、民风民俗、故事传说等非物质文化遗产。</w:t>
      </w:r>
    </w:p>
    <w:p w14:paraId="778E24F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鼓励、支持单位和个人开发人参文创产品，开展与长白山人参文化有关的文艺创作、举办长白山人参文化交流合作等活动。</w:t>
      </w:r>
    </w:p>
    <w:p w14:paraId="3B55334B">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lang w:val="en-US" w:eastAsia="zh-CN"/>
        </w:rPr>
      </w:pPr>
      <w:r>
        <w:rPr>
          <w:rFonts w:hint="eastAsia" w:ascii="黑体" w:hAnsi="黑体" w:eastAsia="黑体" w:cs="黑体"/>
          <w:color w:val="000000"/>
          <w:sz w:val="32"/>
          <w:szCs w:val="32"/>
          <w:lang w:eastAsia="zh-CN"/>
        </w:rPr>
        <w:t>第四十一条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应当推动参旅融合发展，鼓励和支持单位和个人开发人参主题景区景点、公园、博物馆、酒店、民宿、康养基地等文旅产品，开辟主题旅游线路，开发康养项目、医养结合项目。</w:t>
      </w:r>
    </w:p>
    <w:p w14:paraId="2DA854D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lang w:val="en-US" w:eastAsia="zh-CN"/>
        </w:rPr>
        <w:t>省人民政府和有关的市（州）、县（市、区）</w:t>
      </w:r>
      <w:r>
        <w:rPr>
          <w:rFonts w:hint="eastAsia" w:ascii="仿宋_GB2312" w:hAnsi="仿宋_GB2312" w:eastAsia="仿宋_GB2312" w:cs="仿宋_GB2312"/>
          <w:color w:val="000000"/>
          <w:sz w:val="32"/>
          <w:szCs w:val="32"/>
        </w:rPr>
        <w:t>人民政府应当加强人参市场建设，</w:t>
      </w:r>
      <w:r>
        <w:rPr>
          <w:rFonts w:hint="eastAsia" w:ascii="仿宋_GB2312" w:hAnsi="仿宋_GB2312" w:eastAsia="仿宋_GB2312" w:cs="仿宋_GB2312"/>
          <w:color w:val="000000"/>
          <w:sz w:val="32"/>
          <w:szCs w:val="32"/>
          <w:lang w:eastAsia="zh-CN"/>
        </w:rPr>
        <w:t>规范经营行为，</w:t>
      </w:r>
      <w:r>
        <w:rPr>
          <w:rFonts w:hint="eastAsia" w:ascii="仿宋_GB2312" w:hAnsi="仿宋_GB2312" w:eastAsia="仿宋_GB2312" w:cs="仿宋_GB2312"/>
          <w:color w:val="000000"/>
          <w:sz w:val="32"/>
          <w:szCs w:val="32"/>
        </w:rPr>
        <w:t>完善仓储、运输和信息管理等配套服务</w:t>
      </w:r>
      <w:r>
        <w:rPr>
          <w:rFonts w:hint="eastAsia" w:ascii="仿宋_GB2312" w:hAnsi="仿宋_GB2312" w:eastAsia="仿宋_GB2312" w:cs="仿宋_GB2312"/>
          <w:color w:val="000000"/>
          <w:sz w:val="32"/>
          <w:szCs w:val="32"/>
          <w:lang w:eastAsia="zh-CN"/>
        </w:rPr>
        <w:t>，增强市场竞争力、影响力和辐射力</w:t>
      </w:r>
      <w:r>
        <w:rPr>
          <w:rFonts w:hint="eastAsia" w:ascii="仿宋_GB2312" w:hAnsi="仿宋_GB2312" w:eastAsia="仿宋_GB2312" w:cs="仿宋_GB2312"/>
          <w:color w:val="000000"/>
          <w:sz w:val="32"/>
          <w:szCs w:val="32"/>
        </w:rPr>
        <w:t>。</w:t>
      </w:r>
    </w:p>
    <w:p w14:paraId="0DC5DE4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省人民政府和有关的市（州）、县（市、区）人民政府鼓励和支持人参加工经营企业建立健全营销网络体系，拓宽网络销售渠道，加强线下实体平台建设，发展“互联网+新零售”“短视频+直播带货”新业态。</w:t>
      </w:r>
    </w:p>
    <w:p w14:paraId="4F90467E">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eastAsia="zh-CN"/>
        </w:rPr>
        <w:t>发展</w:t>
      </w:r>
      <w:r>
        <w:rPr>
          <w:rFonts w:hint="eastAsia" w:ascii="仿宋_GB2312" w:hAnsi="仿宋_GB2312" w:eastAsia="仿宋_GB2312" w:cs="仿宋_GB2312"/>
          <w:color w:val="000000"/>
          <w:sz w:val="32"/>
          <w:szCs w:val="32"/>
        </w:rPr>
        <w:t>人参产业跨境合作与人参产品国际贸易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鼓励和支持人参加工经营企业积极与国际标准接轨，并通过跨境电商等形式开拓国际市场。</w:t>
      </w:r>
    </w:p>
    <w:p w14:paraId="0387606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default" w:ascii="楷体" w:hAnsi="楷体" w:eastAsia="楷体" w:cs="楷体"/>
          <w:color w:val="000000"/>
          <w:spacing w:val="0"/>
          <w:position w:val="0"/>
          <w:sz w:val="32"/>
          <w:szCs w:val="32"/>
          <w:highlight w:val="none"/>
          <w:shd w:val="clear" w:color="auto" w:fill="auto"/>
          <w:lang w:val="en-US" w:eastAsia="zh-CN"/>
        </w:rPr>
      </w:pPr>
      <w:r>
        <w:rPr>
          <w:rFonts w:hint="eastAsia" w:ascii="黑体" w:hAnsi="黑体" w:eastAsia="黑体"/>
          <w:color w:val="000000"/>
          <w:sz w:val="32"/>
          <w:szCs w:val="32"/>
        </w:rPr>
        <w:t>第四十</w:t>
      </w:r>
      <w:r>
        <w:rPr>
          <w:rFonts w:hint="eastAsia" w:ascii="黑体" w:hAnsi="黑体" w:eastAsia="黑体"/>
          <w:color w:val="000000"/>
          <w:sz w:val="32"/>
          <w:szCs w:val="32"/>
          <w:lang w:eastAsia="zh-CN"/>
        </w:rPr>
        <w:t>四</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支持林下山参纳入全省医保支付范围。</w:t>
      </w:r>
    </w:p>
    <w:p w14:paraId="7AC6D4A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791" w:firstLineChars="246"/>
        <w:jc w:val="center"/>
        <w:rPr>
          <w:rFonts w:hint="eastAsia" w:ascii="黑体" w:hAnsi="黑体" w:eastAsia="黑体"/>
          <w:color w:val="000000"/>
          <w:sz w:val="32"/>
          <w:szCs w:val="32"/>
        </w:rPr>
      </w:pPr>
      <w:r>
        <w:rPr>
          <w:rFonts w:hint="eastAsia" w:ascii="黑体" w:hAnsi="黑体" w:eastAsia="黑体"/>
          <w:color w:val="000000"/>
          <w:sz w:val="32"/>
          <w:szCs w:val="32"/>
        </w:rPr>
        <w:t>第七章 法律责任</w:t>
      </w:r>
    </w:p>
    <w:p w14:paraId="639F49AD">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第四十</w:t>
      </w:r>
      <w:r>
        <w:rPr>
          <w:rFonts w:hint="eastAsia" w:ascii="黑体" w:hAnsi="黑体" w:eastAsia="黑体"/>
          <w:color w:val="000000"/>
          <w:sz w:val="32"/>
          <w:szCs w:val="32"/>
          <w:lang w:eastAsia="zh-CN"/>
        </w:rPr>
        <w:t>五</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 违反本条例第十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条规定，人参种植企业、</w:t>
      </w:r>
      <w:r>
        <w:rPr>
          <w:rFonts w:hint="eastAsia" w:ascii="仿宋_GB2312" w:hAnsi="仿宋_GB2312" w:eastAsia="仿宋_GB2312" w:cs="仿宋_GB2312"/>
          <w:color w:val="000000"/>
          <w:sz w:val="32"/>
          <w:szCs w:val="32"/>
          <w:lang w:eastAsia="zh-CN"/>
        </w:rPr>
        <w:t>农民</w:t>
      </w:r>
      <w:r>
        <w:rPr>
          <w:rFonts w:hint="eastAsia" w:ascii="仿宋_GB2312" w:hAnsi="仿宋_GB2312" w:eastAsia="仿宋_GB2312" w:cs="仿宋_GB2312"/>
          <w:color w:val="000000"/>
          <w:sz w:val="32"/>
          <w:szCs w:val="32"/>
        </w:rPr>
        <w:t>专业合作社、从事人参种植的农业社会化服务组织有下列情形之一的，由县级以上人民政府农业农村主管部门责令限期改正；逾期不改的，处二千元以上二万元以下罚款：</w:t>
      </w:r>
    </w:p>
    <w:p w14:paraId="44F652E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（一）未建立人参生产记录的；</w:t>
      </w:r>
    </w:p>
    <w:p w14:paraId="03BF267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（二）未按照规定内容填写人参生产记录的；</w:t>
      </w:r>
    </w:p>
    <w:p w14:paraId="253CFA1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（三）未按照规定期限保留人参生产记录的；</w:t>
      </w:r>
    </w:p>
    <w:p w14:paraId="6159827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（四）伪造、变造人参生产记录的。</w:t>
      </w:r>
    </w:p>
    <w:p w14:paraId="038165FF">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第四十</w:t>
      </w:r>
      <w:r>
        <w:rPr>
          <w:rFonts w:hint="eastAsia" w:ascii="黑体" w:hAnsi="黑体" w:eastAsia="黑体"/>
          <w:color w:val="000000"/>
          <w:sz w:val="32"/>
          <w:szCs w:val="32"/>
          <w:lang w:eastAsia="zh-CN"/>
        </w:rPr>
        <w:t>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违反本条例第二十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、第二十六条、第二十七条、第二十八条和第三十一条</w:t>
      </w:r>
      <w:r>
        <w:rPr>
          <w:rFonts w:hint="eastAsia" w:ascii="仿宋_GB2312" w:hAnsi="仿宋_GB2312" w:eastAsia="仿宋_GB2312" w:cs="仿宋_GB2312"/>
          <w:color w:val="000000"/>
          <w:sz w:val="32"/>
          <w:szCs w:val="32"/>
        </w:rPr>
        <w:t>规定的，依照《中华人民共和国农产品质量安全法》、《中华人民共和国食品安全法》、《中华人民共和国药品管理法》</w:t>
      </w:r>
      <w:r>
        <w:rPr>
          <w:rFonts w:hint="eastAsia" w:ascii="仿宋_GB2312" w:hAnsi="仿宋_GB2312" w:eastAsia="仿宋_GB2312" w:cs="仿宋_GB2312"/>
          <w:color w:val="000000"/>
          <w:sz w:val="32"/>
          <w:szCs w:val="32"/>
          <w:lang w:eastAsia="zh-CN"/>
        </w:rPr>
        <w:t>、《化妆品监督管理条例》</w:t>
      </w:r>
      <w:r>
        <w:rPr>
          <w:rFonts w:hint="eastAsia" w:ascii="仿宋_GB2312" w:hAnsi="仿宋_GB2312" w:eastAsia="仿宋_GB2312" w:cs="仿宋_GB2312"/>
          <w:color w:val="000000"/>
          <w:sz w:val="32"/>
          <w:szCs w:val="32"/>
        </w:rPr>
        <w:t>等有关规定进行处罚。</w:t>
      </w:r>
    </w:p>
    <w:p w14:paraId="5C0FB1B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网络交易平台经营者违反本条例第二十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条规定，不履行法定核验、登记义务，有关信息报送义务，商品和服务信息、交易信息保存义务的，依照《中华人民共和国电子商务法》、《中华人民共和国食品安全法》等有关规定进行处罚。</w:t>
      </w:r>
    </w:p>
    <w:p w14:paraId="788FE2B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违反本条例第三十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条规定，不具有国家规定资质的机构从事人参检验检测和人参鉴定的，由其行业主管部门依法处理。</w:t>
      </w:r>
    </w:p>
    <w:p w14:paraId="6ABA998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lang w:bidi="ar"/>
        </w:rPr>
        <w:t>人参检验检测机构和人参鉴定机构伪造检验检测结果</w:t>
      </w:r>
      <w:r>
        <w:rPr>
          <w:rFonts w:hint="eastAsia" w:ascii="仿宋_GB2312" w:hAnsi="仿宋_GB2312" w:eastAsia="仿宋_GB2312" w:cs="仿宋_GB2312"/>
          <w:color w:val="000000"/>
          <w:kern w:val="0"/>
          <w:sz w:val="32"/>
          <w:szCs w:val="32"/>
          <w:lang w:bidi="ar"/>
        </w:rPr>
        <w:t>或</w:t>
      </w:r>
      <w:r>
        <w:rPr>
          <w:rFonts w:hint="eastAsia" w:ascii="仿宋_GB2312" w:hAnsi="仿宋_GB2312" w:eastAsia="仿宋_GB2312" w:cs="仿宋_GB2312"/>
          <w:color w:val="000000"/>
          <w:kern w:val="0"/>
          <w:sz w:val="32"/>
          <w:szCs w:val="32"/>
          <w:lang w:eastAsia="zh-CN" w:bidi="ar"/>
        </w:rPr>
        <w:t>者</w:t>
      </w:r>
      <w:r>
        <w:rPr>
          <w:rFonts w:hint="eastAsia" w:ascii="仿宋_GB2312" w:hAnsi="仿宋_GB2312" w:eastAsia="仿宋_GB2312" w:cs="仿宋_GB2312"/>
          <w:color w:val="000000"/>
          <w:kern w:val="0"/>
          <w:sz w:val="32"/>
          <w:szCs w:val="32"/>
          <w:lang w:bidi="ar"/>
        </w:rPr>
        <w:t>出具虚假</w:t>
      </w:r>
      <w:r>
        <w:rPr>
          <w:rFonts w:hint="eastAsia" w:ascii="仿宋_GB2312" w:hAnsi="仿宋_GB2312" w:eastAsia="仿宋_GB2312" w:cs="仿宋_GB2312"/>
          <w:color w:val="000000"/>
          <w:kern w:val="0"/>
          <w:sz w:val="32"/>
          <w:szCs w:val="32"/>
          <w:lang w:bidi="ar"/>
        </w:rPr>
        <w:t>鉴定证明</w:t>
      </w:r>
      <w:r>
        <w:rPr>
          <w:rFonts w:hint="eastAsia" w:ascii="仿宋_GB2312" w:hAnsi="仿宋_GB2312" w:eastAsia="仿宋_GB2312" w:cs="仿宋_GB2312"/>
          <w:color w:val="000000"/>
          <w:kern w:val="0"/>
          <w:sz w:val="32"/>
          <w:szCs w:val="32"/>
          <w:lang w:bidi="ar"/>
        </w:rPr>
        <w:t>的，由有关部门责令改正，没收违法所得，并处五万元以上十万元以下罚款，依法对直接负责的主管人员和其他直接责任人员处一万元以上五万元以下罚款；情节严重的，依法撤销其检验检测或鉴定资质资格；造成损失的，依法承担赔偿责任。</w:t>
      </w:r>
    </w:p>
    <w:p w14:paraId="18292F73">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default" w:ascii="楷体" w:hAnsi="楷体" w:eastAsia="楷体" w:cs="楷体"/>
          <w:color w:val="000000"/>
          <w:sz w:val="32"/>
          <w:szCs w:val="32"/>
          <w:lang w:val="en-US" w:eastAsia="zh-CN"/>
        </w:rPr>
      </w:pPr>
      <w:r>
        <w:rPr>
          <w:rFonts w:hint="eastAsia" w:ascii="黑体" w:hAnsi="黑体" w:eastAsia="黑体"/>
          <w:color w:val="000000"/>
          <w:sz w:val="32"/>
          <w:szCs w:val="32"/>
        </w:rPr>
        <w:t>第五十</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ascii="仿宋_GB2312" w:hAnsi="仿宋_GB2312" w:eastAsia="仿宋_GB2312" w:cs="仿宋_GB2312"/>
          <w:color w:val="000000"/>
          <w:sz w:val="32"/>
          <w:szCs w:val="32"/>
        </w:rPr>
        <w:t>国家机关工作人员在人参监督管理工作中玩忽职守、滥用职权、徇私舞弊的，依法给予处分。</w:t>
      </w:r>
    </w:p>
    <w:p w14:paraId="141094F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第八章 附  则</w:t>
      </w:r>
    </w:p>
    <w:p w14:paraId="7BF33C9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第五十</w:t>
      </w:r>
      <w:r>
        <w:rPr>
          <w:rFonts w:hint="eastAsia" w:ascii="黑体" w:hAnsi="黑体" w:eastAsia="黑体"/>
          <w:color w:val="000000"/>
          <w:sz w:val="32"/>
          <w:szCs w:val="32"/>
          <w:lang w:eastAsia="zh-CN"/>
        </w:rPr>
        <w:t>一</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本省行政区域内西洋参的种植、加工、经营、检验、鉴定及其监督管理等活动参照本条例执行。</w:t>
      </w:r>
    </w:p>
    <w:p w14:paraId="64C96637">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ascii="仿宋_GB2312" w:hAnsi="仿宋_GB2312" w:eastAsia="仿宋_GB2312" w:cs="仿宋_GB2312"/>
          <w:color w:val="000000"/>
          <w:sz w:val="32"/>
          <w:szCs w:val="32"/>
        </w:rPr>
      </w:pPr>
      <w:r>
        <w:rPr>
          <w:rFonts w:hint="eastAsia" w:ascii="黑体" w:hAnsi="黑体" w:eastAsia="黑体"/>
          <w:color w:val="000000"/>
          <w:sz w:val="32"/>
          <w:szCs w:val="32"/>
        </w:rPr>
        <w:t>第五十</w:t>
      </w:r>
      <w:r>
        <w:rPr>
          <w:rFonts w:hint="eastAsia" w:ascii="黑体" w:hAnsi="黑体" w:eastAsia="黑体"/>
          <w:color w:val="000000"/>
          <w:sz w:val="32"/>
          <w:szCs w:val="32"/>
          <w:lang w:eastAsia="zh-CN"/>
        </w:rPr>
        <w:t>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人参生产记录、人参产品质量档案的样式，由省人民政府农业农村主管部门、市场监督管理部门分别制定。</w:t>
      </w:r>
    </w:p>
    <w:p w14:paraId="31F7B379">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pPr>
      <w:r>
        <w:rPr>
          <w:rFonts w:hint="eastAsia" w:ascii="黑体" w:hAnsi="黑体" w:eastAsia="黑体"/>
          <w:color w:val="000000"/>
          <w:sz w:val="32"/>
          <w:szCs w:val="32"/>
        </w:rPr>
        <w:t>第五十</w:t>
      </w:r>
      <w:r>
        <w:rPr>
          <w:rFonts w:hint="eastAsia" w:ascii="黑体" w:hAnsi="黑体" w:eastAsia="黑体"/>
          <w:color w:val="000000"/>
          <w:sz w:val="32"/>
          <w:szCs w:val="32"/>
          <w:lang w:eastAsia="zh-CN"/>
        </w:rPr>
        <w:t>三</w:t>
      </w:r>
      <w:bookmarkStart w:id="0" w:name="_GoBack"/>
      <w:bookmarkEnd w:id="0"/>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本条例自  年  月 日起施行。</w:t>
      </w:r>
    </w:p>
    <w:sectPr>
      <w:footerReference r:id="rId5" w:type="default"/>
      <w:pgSz w:w="11906" w:h="16838"/>
      <w:pgMar w:top="1440" w:right="1800" w:bottom="1440" w:left="1800" w:header="851" w:footer="737" w:gutter="0"/>
      <w:pgNumType w:fmt="decimal"/>
      <w:cols w:space="720" w:num="1"/>
      <w:docGrid w:type="linesAndChars" w:linePitch="312" w:charSpace="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平安行粗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980A">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ABED0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BABED0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08D7"/>
    <w:rsid w:val="0000228D"/>
    <w:rsid w:val="00103CC0"/>
    <w:rsid w:val="001431EE"/>
    <w:rsid w:val="00275BE9"/>
    <w:rsid w:val="002A5D54"/>
    <w:rsid w:val="002E631F"/>
    <w:rsid w:val="004134A3"/>
    <w:rsid w:val="00415F9F"/>
    <w:rsid w:val="004177CF"/>
    <w:rsid w:val="00480EDF"/>
    <w:rsid w:val="004819B9"/>
    <w:rsid w:val="004C08D7"/>
    <w:rsid w:val="005479D7"/>
    <w:rsid w:val="00691278"/>
    <w:rsid w:val="006F1F15"/>
    <w:rsid w:val="00895C83"/>
    <w:rsid w:val="008D57C3"/>
    <w:rsid w:val="00977370"/>
    <w:rsid w:val="009C2CD1"/>
    <w:rsid w:val="00AD0155"/>
    <w:rsid w:val="00B3515E"/>
    <w:rsid w:val="00D11DD1"/>
    <w:rsid w:val="00D46EE6"/>
    <w:rsid w:val="00DC7028"/>
    <w:rsid w:val="00EC6E1B"/>
    <w:rsid w:val="00EF038C"/>
    <w:rsid w:val="00F617A6"/>
    <w:rsid w:val="00FE209A"/>
    <w:rsid w:val="00FE23E8"/>
    <w:rsid w:val="10DB0721"/>
    <w:rsid w:val="115C6933"/>
    <w:rsid w:val="15D6B618"/>
    <w:rsid w:val="17DF8339"/>
    <w:rsid w:val="17F96DB1"/>
    <w:rsid w:val="1FD9E00A"/>
    <w:rsid w:val="1FF1472A"/>
    <w:rsid w:val="257F2A21"/>
    <w:rsid w:val="25FE67E6"/>
    <w:rsid w:val="26BBA2C6"/>
    <w:rsid w:val="27BE7146"/>
    <w:rsid w:val="27E31260"/>
    <w:rsid w:val="295728EA"/>
    <w:rsid w:val="299FC68F"/>
    <w:rsid w:val="2B9F809D"/>
    <w:rsid w:val="2BF3F09C"/>
    <w:rsid w:val="2FDF4A9E"/>
    <w:rsid w:val="2FFE70D2"/>
    <w:rsid w:val="35776BB9"/>
    <w:rsid w:val="3775DE9E"/>
    <w:rsid w:val="37EF9447"/>
    <w:rsid w:val="37EF96D1"/>
    <w:rsid w:val="386DF256"/>
    <w:rsid w:val="38F24760"/>
    <w:rsid w:val="3B6B528C"/>
    <w:rsid w:val="3BDD9C4F"/>
    <w:rsid w:val="3CF56F4A"/>
    <w:rsid w:val="3CFD89FF"/>
    <w:rsid w:val="3CFF93FA"/>
    <w:rsid w:val="3D6E0E59"/>
    <w:rsid w:val="3DEBA5A6"/>
    <w:rsid w:val="3EFECD45"/>
    <w:rsid w:val="3FD9D705"/>
    <w:rsid w:val="3FE6BD51"/>
    <w:rsid w:val="3FEB570A"/>
    <w:rsid w:val="3FFD656E"/>
    <w:rsid w:val="3FFF80C6"/>
    <w:rsid w:val="41B5BF93"/>
    <w:rsid w:val="4667038D"/>
    <w:rsid w:val="478FCA86"/>
    <w:rsid w:val="4D5FFA62"/>
    <w:rsid w:val="4DDE5AC1"/>
    <w:rsid w:val="4E55BD14"/>
    <w:rsid w:val="4EBF513F"/>
    <w:rsid w:val="4F694FD3"/>
    <w:rsid w:val="4FAFCFF8"/>
    <w:rsid w:val="52FF3827"/>
    <w:rsid w:val="563FDE82"/>
    <w:rsid w:val="56BA82E2"/>
    <w:rsid w:val="56FB49AC"/>
    <w:rsid w:val="575E756F"/>
    <w:rsid w:val="577F6B85"/>
    <w:rsid w:val="578F8A12"/>
    <w:rsid w:val="57DBC8FE"/>
    <w:rsid w:val="597E02CA"/>
    <w:rsid w:val="5BBF3201"/>
    <w:rsid w:val="5BF131A7"/>
    <w:rsid w:val="5C6FDD81"/>
    <w:rsid w:val="5E7B112F"/>
    <w:rsid w:val="5E7EF972"/>
    <w:rsid w:val="5ECFBE83"/>
    <w:rsid w:val="5F4C369C"/>
    <w:rsid w:val="5F79F56C"/>
    <w:rsid w:val="5F7D49CF"/>
    <w:rsid w:val="5FFF7FE3"/>
    <w:rsid w:val="5FFFCD07"/>
    <w:rsid w:val="5FFFEA79"/>
    <w:rsid w:val="60BF043B"/>
    <w:rsid w:val="65361B46"/>
    <w:rsid w:val="663C94EA"/>
    <w:rsid w:val="66BF1D0D"/>
    <w:rsid w:val="67DB5AA4"/>
    <w:rsid w:val="6ABDDA70"/>
    <w:rsid w:val="6B7D0C28"/>
    <w:rsid w:val="6BEFE1F3"/>
    <w:rsid w:val="6CD5F170"/>
    <w:rsid w:val="6D3F70BE"/>
    <w:rsid w:val="6DEBDC82"/>
    <w:rsid w:val="6EFFC14C"/>
    <w:rsid w:val="6F6D3040"/>
    <w:rsid w:val="6FBB1CC2"/>
    <w:rsid w:val="6FDB3B63"/>
    <w:rsid w:val="6FFA313A"/>
    <w:rsid w:val="6FFDE876"/>
    <w:rsid w:val="6FFF3DF0"/>
    <w:rsid w:val="71BEB4A2"/>
    <w:rsid w:val="72F986F5"/>
    <w:rsid w:val="739FBD22"/>
    <w:rsid w:val="73FBFA04"/>
    <w:rsid w:val="7577EFFB"/>
    <w:rsid w:val="7597BB07"/>
    <w:rsid w:val="75F71D93"/>
    <w:rsid w:val="75FBC442"/>
    <w:rsid w:val="7677F2A8"/>
    <w:rsid w:val="768516CD"/>
    <w:rsid w:val="76DFA82D"/>
    <w:rsid w:val="76EF6B1D"/>
    <w:rsid w:val="772BCB11"/>
    <w:rsid w:val="77BDF91F"/>
    <w:rsid w:val="77DF54E7"/>
    <w:rsid w:val="77F38215"/>
    <w:rsid w:val="77FF6B71"/>
    <w:rsid w:val="77FFB894"/>
    <w:rsid w:val="791E95E0"/>
    <w:rsid w:val="79CB6530"/>
    <w:rsid w:val="7A7E40F1"/>
    <w:rsid w:val="7B7616C8"/>
    <w:rsid w:val="7B7E83C9"/>
    <w:rsid w:val="7B9ECA8F"/>
    <w:rsid w:val="7BA94EFC"/>
    <w:rsid w:val="7BBBFABD"/>
    <w:rsid w:val="7BEEFFDC"/>
    <w:rsid w:val="7BEF94C3"/>
    <w:rsid w:val="7BFD082C"/>
    <w:rsid w:val="7CBF325A"/>
    <w:rsid w:val="7CEE0B78"/>
    <w:rsid w:val="7CF43B40"/>
    <w:rsid w:val="7D3D9E47"/>
    <w:rsid w:val="7DB7E94B"/>
    <w:rsid w:val="7DCF0CEA"/>
    <w:rsid w:val="7DF53BA2"/>
    <w:rsid w:val="7E47EA3E"/>
    <w:rsid w:val="7EB1735B"/>
    <w:rsid w:val="7EBF2BF4"/>
    <w:rsid w:val="7EF3E93F"/>
    <w:rsid w:val="7EFF60AE"/>
    <w:rsid w:val="7F3D4B4C"/>
    <w:rsid w:val="7F5FA107"/>
    <w:rsid w:val="7F77BFB1"/>
    <w:rsid w:val="7F7A2EE0"/>
    <w:rsid w:val="7F7EB700"/>
    <w:rsid w:val="7F7F0680"/>
    <w:rsid w:val="7F7F5733"/>
    <w:rsid w:val="7F876E82"/>
    <w:rsid w:val="7FBBBB62"/>
    <w:rsid w:val="7FBEDFCF"/>
    <w:rsid w:val="7FD77943"/>
    <w:rsid w:val="7FDBE16A"/>
    <w:rsid w:val="7FEE03C1"/>
    <w:rsid w:val="7FEF4E3D"/>
    <w:rsid w:val="7FFBD4FC"/>
    <w:rsid w:val="8BB73581"/>
    <w:rsid w:val="8E9FA599"/>
    <w:rsid w:val="98AFA020"/>
    <w:rsid w:val="9CD5179F"/>
    <w:rsid w:val="9EFFE7BB"/>
    <w:rsid w:val="9FB7E3B1"/>
    <w:rsid w:val="AA798580"/>
    <w:rsid w:val="AEFA32E5"/>
    <w:rsid w:val="AF4BB02B"/>
    <w:rsid w:val="B2D3A21B"/>
    <w:rsid w:val="B6DFA395"/>
    <w:rsid w:val="B6FF1874"/>
    <w:rsid w:val="B7CE139B"/>
    <w:rsid w:val="B8BB7475"/>
    <w:rsid w:val="BA86C3CF"/>
    <w:rsid w:val="BBFB8CAE"/>
    <w:rsid w:val="BC3AB7BC"/>
    <w:rsid w:val="BCF56BF0"/>
    <w:rsid w:val="BDAFAF46"/>
    <w:rsid w:val="BEFFB5E6"/>
    <w:rsid w:val="BF3F8183"/>
    <w:rsid w:val="BF73C326"/>
    <w:rsid w:val="BF77AC9B"/>
    <w:rsid w:val="BF7DC623"/>
    <w:rsid w:val="BFD72679"/>
    <w:rsid w:val="BFF74E0D"/>
    <w:rsid w:val="CBAD5911"/>
    <w:rsid w:val="CCCFB671"/>
    <w:rsid w:val="CDD7FE5D"/>
    <w:rsid w:val="CDFEE3B7"/>
    <w:rsid w:val="CEFF306A"/>
    <w:rsid w:val="CF4B0518"/>
    <w:rsid w:val="D6655334"/>
    <w:rsid w:val="DA37DE8A"/>
    <w:rsid w:val="DBF85010"/>
    <w:rsid w:val="DDEFF9EE"/>
    <w:rsid w:val="DE4F1DC1"/>
    <w:rsid w:val="DEC9AB15"/>
    <w:rsid w:val="DF61E789"/>
    <w:rsid w:val="DFFD6552"/>
    <w:rsid w:val="E13D1BE6"/>
    <w:rsid w:val="E3763309"/>
    <w:rsid w:val="E73BBAC0"/>
    <w:rsid w:val="E7773BC4"/>
    <w:rsid w:val="E7BE2656"/>
    <w:rsid w:val="E7BE42C8"/>
    <w:rsid w:val="E7F99A4A"/>
    <w:rsid w:val="EBDF0029"/>
    <w:rsid w:val="ECDE01DA"/>
    <w:rsid w:val="ECFEB6BB"/>
    <w:rsid w:val="EDEB068B"/>
    <w:rsid w:val="EDFF9601"/>
    <w:rsid w:val="EE7FA32C"/>
    <w:rsid w:val="EF197AE7"/>
    <w:rsid w:val="EF3589E7"/>
    <w:rsid w:val="EFBDFE4B"/>
    <w:rsid w:val="EFBFC59A"/>
    <w:rsid w:val="EFDCEB1A"/>
    <w:rsid w:val="EFFDE79A"/>
    <w:rsid w:val="EFFF2FF0"/>
    <w:rsid w:val="EFFFA3EE"/>
    <w:rsid w:val="F2FE8B94"/>
    <w:rsid w:val="F39FA88A"/>
    <w:rsid w:val="F3D7720F"/>
    <w:rsid w:val="F4FD2071"/>
    <w:rsid w:val="F5EED71F"/>
    <w:rsid w:val="F5FFAA54"/>
    <w:rsid w:val="F679B857"/>
    <w:rsid w:val="F6DDCED6"/>
    <w:rsid w:val="F6EF07D2"/>
    <w:rsid w:val="F6FFD1DD"/>
    <w:rsid w:val="F73BF39C"/>
    <w:rsid w:val="F73D0CC0"/>
    <w:rsid w:val="F772A2B3"/>
    <w:rsid w:val="F7731356"/>
    <w:rsid w:val="F7EE0533"/>
    <w:rsid w:val="F7FA5305"/>
    <w:rsid w:val="F7FF037D"/>
    <w:rsid w:val="F7FF08D7"/>
    <w:rsid w:val="F9E37F43"/>
    <w:rsid w:val="F9FD994F"/>
    <w:rsid w:val="F9FF72F5"/>
    <w:rsid w:val="FAEF4B32"/>
    <w:rsid w:val="FAFEE9D5"/>
    <w:rsid w:val="FAFFE4FB"/>
    <w:rsid w:val="FBBD72A6"/>
    <w:rsid w:val="FBF64296"/>
    <w:rsid w:val="FBFFF6C5"/>
    <w:rsid w:val="FD630481"/>
    <w:rsid w:val="FD79854A"/>
    <w:rsid w:val="FD9B8168"/>
    <w:rsid w:val="FDCEF2DA"/>
    <w:rsid w:val="FDFF1908"/>
    <w:rsid w:val="FE37F277"/>
    <w:rsid w:val="FEDB55FF"/>
    <w:rsid w:val="FEDBD909"/>
    <w:rsid w:val="FEFD18A2"/>
    <w:rsid w:val="FEFFC51D"/>
    <w:rsid w:val="FF5CBB20"/>
    <w:rsid w:val="FF9DB5AD"/>
    <w:rsid w:val="FF9FB992"/>
    <w:rsid w:val="FFB3748A"/>
    <w:rsid w:val="FFB44E96"/>
    <w:rsid w:val="FFBB6D1C"/>
    <w:rsid w:val="FFD3A3B2"/>
    <w:rsid w:val="FFD74F9F"/>
    <w:rsid w:val="FFD7711D"/>
    <w:rsid w:val="FFE7814E"/>
    <w:rsid w:val="FFEAA282"/>
    <w:rsid w:val="FFEDA16D"/>
    <w:rsid w:val="FFEDE8F0"/>
    <w:rsid w:val="FFFB72E8"/>
    <w:rsid w:val="FFFBA381"/>
    <w:rsid w:val="FFFEAB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after="80"/>
      <w:contextualSpacing/>
      <w:jc w:val="center"/>
    </w:pPr>
    <w:rPr>
      <w:rFonts w:ascii="Calibri Light" w:hAnsi="Calibri Light" w:eastAsia="宋体" w:cs="Times New Roman"/>
      <w:spacing w:val="-10"/>
      <w:kern w:val="28"/>
      <w:sz w:val="56"/>
      <w:szCs w:val="56"/>
    </w:rPr>
  </w:style>
  <w:style w:type="paragraph" w:styleId="3">
    <w:name w:val="annotation text"/>
    <w:basedOn w:val="1"/>
    <w:unhideWhenUsed/>
    <w:qFormat/>
    <w:uiPriority w:val="99"/>
    <w:pPr>
      <w:jc w:val="left"/>
    </w:pPr>
  </w:style>
  <w:style w:type="paragraph" w:styleId="4">
    <w:name w:val="Body Text Indent"/>
    <w:basedOn w:val="1"/>
    <w:qFormat/>
    <w:uiPriority w:val="0"/>
    <w:pPr>
      <w:spacing w:line="500" w:lineRule="exact"/>
      <w:ind w:firstLine="645"/>
    </w:pPr>
    <w:rPr>
      <w:rFonts w:ascii="Times New Roman" w:hAnsi="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3262</Words>
  <Characters>3262</Characters>
  <Lines>171</Lines>
  <Paragraphs>148</Paragraphs>
  <TotalTime>132</TotalTime>
  <ScaleCrop>false</ScaleCrop>
  <LinksUpToDate>false</LinksUpToDate>
  <CharactersWithSpaces>6376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2025-07-22T08:59:00Z</dcterms:created>
  <dc:creator>jlsft</dc:creator>
  <cp:lastModifiedBy>Mini</cp:lastModifiedBy>
  <cp:lastPrinted>2025-10-20T08:34:42Z</cp:lastPrinted>
  <dcterms:modified xsi:type="dcterms:W3CDTF">2025-10-20T09:10:09Z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E7CCB6293788DCEA7A86F5681DE12224_43</vt:lpwstr>
  </property>
</Properties>
</file>